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B466" w14:textId="64486A16" w:rsidR="003D222C" w:rsidRPr="00F462D6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F462D6" w14:paraId="197CA602" w14:textId="77777777" w:rsidTr="004F7395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F462D6" w:rsidRDefault="003D222C" w:rsidP="004F73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F462D6">
              <w:rPr>
                <w:szCs w:val="24"/>
                <w:lang w:val="en-US"/>
              </w:rPr>
              <w:br w:type="page"/>
            </w:r>
            <w:r w:rsidRPr="00F462D6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F462D6" w:rsidRDefault="003D222C" w:rsidP="004F7395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F462D6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F462D6" w14:paraId="2CF2F263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5DF96667" w14:textId="77777777" w:rsidR="003D222C" w:rsidRPr="00F462D6" w:rsidRDefault="003D222C" w:rsidP="004F7395">
            <w:pPr>
              <w:rPr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Working Party:</w:t>
            </w:r>
            <w:r w:rsidRPr="00F462D6">
              <w:rPr>
                <w:szCs w:val="24"/>
                <w:lang w:val="en-US"/>
              </w:rPr>
              <w:t xml:space="preserve"> ITU-R WP 7C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27DECC8B" w:rsidR="003D222C" w:rsidRPr="00F462D6" w:rsidRDefault="003D222C" w:rsidP="004F7395">
            <w:pPr>
              <w:rPr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Document No:</w:t>
            </w:r>
            <w:r w:rsidRPr="00F462D6">
              <w:rPr>
                <w:szCs w:val="24"/>
                <w:lang w:val="en-US"/>
              </w:rPr>
              <w:t xml:space="preserve">  </w:t>
            </w:r>
            <w:r w:rsidR="002B50B1" w:rsidRPr="00F462D6">
              <w:rPr>
                <w:szCs w:val="24"/>
                <w:lang w:val="en-US"/>
              </w:rPr>
              <w:t>US 7C/27-</w:t>
            </w:r>
            <w:r w:rsidR="008F1A39" w:rsidRPr="00F462D6">
              <w:rPr>
                <w:szCs w:val="24"/>
                <w:lang w:val="en-US"/>
              </w:rPr>
              <w:t>010</w:t>
            </w:r>
            <w:r w:rsidR="00837E09">
              <w:rPr>
                <w:szCs w:val="24"/>
                <w:lang w:val="en-US"/>
              </w:rPr>
              <w:t>NC</w:t>
            </w:r>
          </w:p>
        </w:tc>
      </w:tr>
      <w:tr w:rsidR="003D222C" w:rsidRPr="00F462D6" w14:paraId="44EE1CF4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44C3CF56" w14:textId="2AC9C4CE" w:rsidR="005235AD" w:rsidRPr="00F462D6" w:rsidRDefault="003D222C" w:rsidP="004E3288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Ref.</w:t>
            </w:r>
            <w:r w:rsidR="004E3288" w:rsidRPr="00F462D6">
              <w:rPr>
                <w:b/>
                <w:szCs w:val="24"/>
                <w:lang w:val="en-US"/>
              </w:rPr>
              <w:t xml:space="preserve">: </w:t>
            </w:r>
            <w:r w:rsidR="004E3288" w:rsidRPr="00F462D6">
              <w:rPr>
                <w:bCs/>
                <w:szCs w:val="24"/>
                <w:lang w:val="en-US"/>
              </w:rPr>
              <w:t>Document 7C/50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7224B466" w:rsidR="003D222C" w:rsidRPr="00F462D6" w:rsidRDefault="003D222C" w:rsidP="004F7395">
            <w:pPr>
              <w:tabs>
                <w:tab w:val="left" w:pos="162"/>
              </w:tabs>
              <w:rPr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 xml:space="preserve">Date: </w:t>
            </w:r>
            <w:r w:rsidR="00837E09">
              <w:rPr>
                <w:bCs/>
                <w:szCs w:val="24"/>
                <w:lang w:val="en-US"/>
              </w:rPr>
              <w:t>8</w:t>
            </w:r>
            <w:r w:rsidR="003D5982">
              <w:rPr>
                <w:bCs/>
                <w:szCs w:val="24"/>
                <w:lang w:val="en-US"/>
              </w:rPr>
              <w:t xml:space="preserve"> August</w:t>
            </w:r>
            <w:r w:rsidRPr="00F462D6">
              <w:rPr>
                <w:bCs/>
                <w:szCs w:val="24"/>
                <w:lang w:val="en-US"/>
              </w:rPr>
              <w:t xml:space="preserve"> 2024</w:t>
            </w:r>
          </w:p>
        </w:tc>
      </w:tr>
      <w:tr w:rsidR="003D222C" w:rsidRPr="00F462D6" w14:paraId="21B3643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D9A59D" w14:textId="332E15A1" w:rsidR="003D222C" w:rsidRPr="00F462D6" w:rsidRDefault="003D222C" w:rsidP="004E3288">
            <w:pPr>
              <w:pStyle w:val="BodyTextIndent"/>
              <w:ind w:left="45"/>
              <w:rPr>
                <w:bCs/>
                <w:szCs w:val="24"/>
                <w:lang w:val="en-US"/>
              </w:rPr>
            </w:pPr>
            <w:r w:rsidRPr="00F462D6">
              <w:rPr>
                <w:b/>
                <w:bCs/>
                <w:szCs w:val="24"/>
                <w:lang w:val="en-US"/>
              </w:rPr>
              <w:t>Document Title:</w:t>
            </w:r>
            <w:r w:rsidRPr="00F462D6">
              <w:rPr>
                <w:bCs/>
                <w:szCs w:val="24"/>
                <w:lang w:val="en-US"/>
              </w:rPr>
              <w:t xml:space="preserve"> </w:t>
            </w:r>
            <w:r w:rsidR="00837E09" w:rsidRPr="00837E09">
              <w:rPr>
                <w:bCs/>
                <w:szCs w:val="24"/>
                <w:highlight w:val="yellow"/>
                <w:lang w:val="en-US"/>
              </w:rPr>
              <w:t>NON-CONSENSUS:</w:t>
            </w:r>
            <w:r w:rsidR="00837E09">
              <w:rPr>
                <w:bCs/>
                <w:szCs w:val="24"/>
                <w:lang w:val="en-US"/>
              </w:rPr>
              <w:t xml:space="preserve"> </w:t>
            </w:r>
            <w:r w:rsidR="00041EC7" w:rsidRPr="00F462D6">
              <w:rPr>
                <w:bCs/>
                <w:szCs w:val="24"/>
                <w:lang w:val="en-US"/>
              </w:rPr>
              <w:t>Proposed d</w:t>
            </w:r>
            <w:r w:rsidRPr="00F462D6">
              <w:rPr>
                <w:bCs/>
                <w:szCs w:val="24"/>
                <w:lang w:val="en-US"/>
              </w:rPr>
              <w:t>raft</w:t>
            </w:r>
            <w:r w:rsidR="004E3288" w:rsidRPr="00F462D6">
              <w:rPr>
                <w:bCs/>
                <w:szCs w:val="24"/>
                <w:lang w:val="en-US"/>
              </w:rPr>
              <w:t xml:space="preserve"> </w:t>
            </w:r>
            <w:proofErr w:type="gramStart"/>
            <w:r w:rsidR="004E3288" w:rsidRPr="00F462D6">
              <w:rPr>
                <w:bCs/>
                <w:szCs w:val="24"/>
                <w:lang w:val="en-US"/>
              </w:rPr>
              <w:t>reply</w:t>
            </w:r>
            <w:proofErr w:type="gramEnd"/>
            <w:r w:rsidRPr="00F462D6">
              <w:rPr>
                <w:bCs/>
                <w:szCs w:val="24"/>
                <w:lang w:val="en-US"/>
              </w:rPr>
              <w:t xml:space="preserve"> </w:t>
            </w:r>
            <w:r w:rsidR="00041EC7" w:rsidRPr="00F462D6">
              <w:rPr>
                <w:bCs/>
                <w:szCs w:val="24"/>
                <w:lang w:val="en-US"/>
              </w:rPr>
              <w:t xml:space="preserve">liaison statement to Working Party </w:t>
            </w:r>
            <w:r w:rsidR="00527BE0" w:rsidRPr="00F462D6">
              <w:rPr>
                <w:bCs/>
                <w:szCs w:val="24"/>
                <w:lang w:val="en-US"/>
              </w:rPr>
              <w:t>4</w:t>
            </w:r>
            <w:r w:rsidR="00A01AFF" w:rsidRPr="00F462D6">
              <w:rPr>
                <w:bCs/>
                <w:szCs w:val="24"/>
                <w:lang w:val="en-US"/>
              </w:rPr>
              <w:t>C</w:t>
            </w:r>
            <w:r w:rsidR="00F40F63" w:rsidRPr="00F462D6">
              <w:rPr>
                <w:bCs/>
                <w:szCs w:val="24"/>
                <w:lang w:val="en-US"/>
              </w:rPr>
              <w:t xml:space="preserve"> </w:t>
            </w:r>
            <w:r w:rsidR="00541CF3" w:rsidRPr="00F462D6">
              <w:rPr>
                <w:bCs/>
                <w:szCs w:val="24"/>
                <w:lang w:val="en-US"/>
              </w:rPr>
              <w:t>on</w:t>
            </w:r>
            <w:r w:rsidR="00F40F63" w:rsidRPr="00F462D6">
              <w:rPr>
                <w:bCs/>
                <w:szCs w:val="24"/>
                <w:lang w:val="en-US"/>
              </w:rPr>
              <w:t xml:space="preserve"> WRC-27 agenda item 1.13</w:t>
            </w:r>
          </w:p>
        </w:tc>
      </w:tr>
      <w:tr w:rsidR="003D222C" w:rsidRPr="00F462D6" w14:paraId="6D49E542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7A19105C" w14:textId="77777777" w:rsidR="003D222C" w:rsidRPr="00F462D6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Author(s)/Contributors(s):</w:t>
            </w:r>
          </w:p>
          <w:p w14:paraId="2E958CF6" w14:textId="77777777" w:rsidR="003D222C" w:rsidRPr="00F462D6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E2429E9" w14:textId="77777777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462D6">
              <w:rPr>
                <w:bCs/>
                <w:iCs/>
                <w:szCs w:val="24"/>
                <w:lang w:val="en-US"/>
              </w:rPr>
              <w:t>Daniel Bishop</w:t>
            </w:r>
          </w:p>
          <w:p w14:paraId="2C68AA29" w14:textId="77777777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462D6">
              <w:rPr>
                <w:bCs/>
                <w:iCs/>
                <w:szCs w:val="24"/>
                <w:lang w:val="en-US"/>
              </w:rPr>
              <w:t>NASA</w:t>
            </w:r>
          </w:p>
          <w:p w14:paraId="4654AA8E" w14:textId="77777777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91FE440" w14:textId="77777777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7843CDA" w14:textId="77777777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462D6">
              <w:rPr>
                <w:bCs/>
                <w:iCs/>
                <w:szCs w:val="24"/>
                <w:lang w:val="en-US"/>
              </w:rPr>
              <w:t>Jason Szklany</w:t>
            </w:r>
          </w:p>
          <w:p w14:paraId="471F2341" w14:textId="77777777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462D6">
              <w:rPr>
                <w:bCs/>
                <w:iCs/>
                <w:szCs w:val="24"/>
                <w:lang w:val="en-US"/>
              </w:rPr>
              <w:t>ADS for NASA</w:t>
            </w:r>
          </w:p>
          <w:p w14:paraId="36E1270E" w14:textId="77777777" w:rsidR="003D222C" w:rsidRPr="00F462D6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6A4045F" w14:textId="77777777" w:rsidR="003D222C" w:rsidRPr="00F462D6" w:rsidRDefault="003D222C" w:rsidP="004F7395">
            <w:pPr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D48AADF" w14:textId="77777777" w:rsidR="003D222C" w:rsidRPr="00F462D6" w:rsidRDefault="003D222C" w:rsidP="004F7395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7CFF851" w14:textId="77777777" w:rsidR="003D222C" w:rsidRPr="00F462D6" w:rsidRDefault="003D222C" w:rsidP="004F7395">
            <w:pPr>
              <w:spacing w:before="0"/>
              <w:ind w:left="144" w:right="144"/>
              <w:rPr>
                <w:bCs/>
                <w:szCs w:val="24"/>
                <w:lang w:val="en-US"/>
              </w:rPr>
            </w:pPr>
          </w:p>
          <w:p w14:paraId="73172ABA" w14:textId="77777777" w:rsidR="002B50B1" w:rsidRPr="00F462D6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F462D6">
              <w:rPr>
                <w:bCs/>
                <w:color w:val="000000"/>
                <w:szCs w:val="24"/>
                <w:lang w:val="en-US"/>
              </w:rPr>
              <w:t xml:space="preserve">Phone:  </w:t>
            </w:r>
          </w:p>
          <w:p w14:paraId="5ACF1EA0" w14:textId="77777777" w:rsidR="002B50B1" w:rsidRPr="00F462D6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F462D6">
              <w:rPr>
                <w:bCs/>
                <w:color w:val="000000"/>
                <w:szCs w:val="24"/>
                <w:lang w:val="en-US"/>
              </w:rPr>
              <w:t xml:space="preserve">Email : </w:t>
            </w:r>
            <w:hyperlink r:id="rId10" w:history="1">
              <w:r w:rsidRPr="00F462D6">
                <w:rPr>
                  <w:rStyle w:val="Hyperlink"/>
                  <w:bCs/>
                  <w:szCs w:val="24"/>
                  <w:lang w:val="en-US"/>
                </w:rPr>
                <w:t>Daniel.W.Bishop@nasa.gov</w:t>
              </w:r>
            </w:hyperlink>
            <w:r w:rsidRPr="00F462D6"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56D6C01B" w14:textId="77777777" w:rsidR="002B50B1" w:rsidRPr="00F462D6" w:rsidRDefault="002B50B1" w:rsidP="002B50B1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0794BFCD" w14:textId="77777777" w:rsidR="002B50B1" w:rsidRPr="00F462D6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08ED5D7" w14:textId="77777777" w:rsidR="002B50B1" w:rsidRPr="00F462D6" w:rsidRDefault="002B50B1" w:rsidP="002B50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F462D6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32AE860D" w14:textId="3F8DC388" w:rsidR="002B50B1" w:rsidRPr="00F462D6" w:rsidRDefault="002B50B1" w:rsidP="002B50B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462D6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1" w:history="1">
              <w:r w:rsidRPr="00F462D6">
                <w:rPr>
                  <w:rStyle w:val="Hyperlink"/>
                  <w:lang w:val="en-US"/>
                </w:rPr>
                <w:t>jszklany</w:t>
              </w:r>
              <w:r w:rsidRPr="00F462D6">
                <w:rPr>
                  <w:rStyle w:val="Hyperlink"/>
                  <w:bCs/>
                  <w:szCs w:val="24"/>
                  <w:lang w:val="en-US"/>
                </w:rPr>
                <w:t>@asrcfederal.com</w:t>
              </w:r>
            </w:hyperlink>
          </w:p>
          <w:p w14:paraId="5F0DBE9E" w14:textId="77777777" w:rsidR="003D222C" w:rsidRPr="00F462D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D5692C9" w14:textId="77777777" w:rsidR="003D222C" w:rsidRPr="00F462D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F462D6" w14:paraId="5F7249A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0EB9FA6B" w:rsidR="003D222C" w:rsidRPr="00F462D6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Purpose/Objective:</w:t>
            </w:r>
            <w:r w:rsidRPr="00F462D6">
              <w:rPr>
                <w:bCs/>
                <w:szCs w:val="24"/>
                <w:lang w:val="en-US"/>
              </w:rPr>
              <w:t xml:space="preserve">  To provide relevant</w:t>
            </w:r>
            <w:r w:rsidR="004E3288" w:rsidRPr="00F462D6">
              <w:rPr>
                <w:bCs/>
                <w:szCs w:val="24"/>
                <w:lang w:val="en-US"/>
              </w:rPr>
              <w:t xml:space="preserve"> </w:t>
            </w:r>
            <w:r w:rsidR="001E2740" w:rsidRPr="00F462D6">
              <w:rPr>
                <w:bCs/>
                <w:szCs w:val="24"/>
                <w:lang w:val="en-US"/>
              </w:rPr>
              <w:t>information</w:t>
            </w:r>
            <w:r w:rsidR="009436DE" w:rsidRPr="00F462D6">
              <w:rPr>
                <w:bCs/>
                <w:szCs w:val="24"/>
                <w:lang w:val="en-US"/>
              </w:rPr>
              <w:t xml:space="preserve"> to </w:t>
            </w:r>
            <w:r w:rsidR="004E3288" w:rsidRPr="00F462D6">
              <w:rPr>
                <w:bCs/>
                <w:szCs w:val="24"/>
                <w:lang w:val="en-US"/>
              </w:rPr>
              <w:t>W</w:t>
            </w:r>
            <w:r w:rsidR="009436DE" w:rsidRPr="00F462D6">
              <w:rPr>
                <w:bCs/>
                <w:szCs w:val="24"/>
                <w:lang w:val="en-US"/>
              </w:rPr>
              <w:t xml:space="preserve">orking </w:t>
            </w:r>
            <w:r w:rsidR="004E3288" w:rsidRPr="00F462D6">
              <w:rPr>
                <w:bCs/>
                <w:szCs w:val="24"/>
                <w:lang w:val="en-US"/>
              </w:rPr>
              <w:t>P</w:t>
            </w:r>
            <w:r w:rsidR="009436DE" w:rsidRPr="00F462D6">
              <w:rPr>
                <w:bCs/>
                <w:szCs w:val="24"/>
                <w:lang w:val="en-US"/>
              </w:rPr>
              <w:t xml:space="preserve">arty </w:t>
            </w:r>
            <w:r w:rsidR="00527BE0" w:rsidRPr="00F462D6">
              <w:rPr>
                <w:bCs/>
                <w:szCs w:val="24"/>
                <w:lang w:val="en-US"/>
              </w:rPr>
              <w:t>4</w:t>
            </w:r>
            <w:r w:rsidR="002B50B1" w:rsidRPr="00F462D6">
              <w:rPr>
                <w:bCs/>
                <w:szCs w:val="24"/>
                <w:lang w:val="en-US"/>
              </w:rPr>
              <w:t>C</w:t>
            </w:r>
            <w:r w:rsidR="009436DE" w:rsidRPr="00F462D6">
              <w:rPr>
                <w:bCs/>
                <w:szCs w:val="24"/>
                <w:lang w:val="en-US"/>
              </w:rPr>
              <w:t xml:space="preserve"> </w:t>
            </w:r>
            <w:r w:rsidR="00BC080B" w:rsidRPr="00F462D6">
              <w:rPr>
                <w:bCs/>
                <w:szCs w:val="24"/>
                <w:lang w:val="en-US"/>
              </w:rPr>
              <w:t>regarding</w:t>
            </w:r>
            <w:r w:rsidR="001E2740" w:rsidRPr="00F462D6">
              <w:rPr>
                <w:bCs/>
                <w:szCs w:val="24"/>
                <w:lang w:val="en-US"/>
              </w:rPr>
              <w:t xml:space="preserve"> </w:t>
            </w:r>
            <w:r w:rsidR="00CA05E4" w:rsidRPr="00F462D6">
              <w:rPr>
                <w:bCs/>
                <w:szCs w:val="24"/>
                <w:lang w:val="en-US"/>
              </w:rPr>
              <w:t xml:space="preserve">WRC-27 </w:t>
            </w:r>
            <w:r w:rsidR="009436DE" w:rsidRPr="00F462D6">
              <w:rPr>
                <w:bCs/>
                <w:szCs w:val="24"/>
                <w:lang w:val="en-US"/>
              </w:rPr>
              <w:t>agenda item 1.</w:t>
            </w:r>
            <w:r w:rsidR="002B50B1" w:rsidRPr="00F462D6">
              <w:rPr>
                <w:bCs/>
                <w:szCs w:val="24"/>
                <w:lang w:val="en-US"/>
              </w:rPr>
              <w:t>1</w:t>
            </w:r>
            <w:r w:rsidR="00527BE0" w:rsidRPr="00F462D6">
              <w:rPr>
                <w:bCs/>
                <w:szCs w:val="24"/>
                <w:lang w:val="en-US"/>
              </w:rPr>
              <w:t>3</w:t>
            </w:r>
            <w:r w:rsidR="001E2740" w:rsidRPr="00F462D6">
              <w:rPr>
                <w:bCs/>
                <w:szCs w:val="24"/>
                <w:lang w:val="en-US"/>
              </w:rPr>
              <w:t>.</w:t>
            </w:r>
          </w:p>
          <w:p w14:paraId="108BD4E0" w14:textId="77777777" w:rsidR="003D222C" w:rsidRPr="00F462D6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F462D6" w14:paraId="00053ED7" w14:textId="77777777" w:rsidTr="004F7395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F8A5F9A" w14:textId="6BBCDFBE" w:rsidR="00770B97" w:rsidRPr="00F462D6" w:rsidRDefault="003D222C" w:rsidP="005315C9">
            <w:pPr>
              <w:rPr>
                <w:bCs/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Abstract:</w:t>
            </w:r>
            <w:r w:rsidRPr="00F462D6">
              <w:rPr>
                <w:bCs/>
                <w:szCs w:val="24"/>
                <w:lang w:val="en-US"/>
              </w:rPr>
              <w:t xml:space="preserve"> Working Party (WP) 7C is </w:t>
            </w:r>
            <w:r w:rsidR="009436DE" w:rsidRPr="00F462D6">
              <w:rPr>
                <w:bCs/>
                <w:szCs w:val="24"/>
                <w:lang w:val="en-US"/>
              </w:rPr>
              <w:t>listed as a</w:t>
            </w:r>
            <w:r w:rsidRPr="00F462D6">
              <w:rPr>
                <w:bCs/>
                <w:szCs w:val="24"/>
                <w:lang w:val="en-US"/>
              </w:rPr>
              <w:t xml:space="preserve"> </w:t>
            </w:r>
            <w:r w:rsidR="009436DE" w:rsidRPr="00F462D6">
              <w:rPr>
                <w:bCs/>
                <w:szCs w:val="24"/>
                <w:lang w:val="en-US"/>
              </w:rPr>
              <w:t>contributing</w:t>
            </w:r>
            <w:r w:rsidRPr="00F462D6">
              <w:rPr>
                <w:bCs/>
                <w:szCs w:val="24"/>
                <w:lang w:val="en-US"/>
              </w:rPr>
              <w:t xml:space="preserve"> group for WRC-27 agenda item 1.</w:t>
            </w:r>
            <w:r w:rsidR="002B50B1" w:rsidRPr="00F462D6">
              <w:rPr>
                <w:bCs/>
                <w:szCs w:val="24"/>
                <w:lang w:val="en-US"/>
              </w:rPr>
              <w:t>1</w:t>
            </w:r>
            <w:r w:rsidR="00527BE0" w:rsidRPr="00F462D6">
              <w:rPr>
                <w:bCs/>
                <w:szCs w:val="24"/>
                <w:lang w:val="en-US"/>
              </w:rPr>
              <w:t>3</w:t>
            </w:r>
            <w:r w:rsidR="00DC40F5" w:rsidRPr="00F462D6">
              <w:rPr>
                <w:bCs/>
                <w:szCs w:val="24"/>
                <w:lang w:val="en-US"/>
              </w:rPr>
              <w:t xml:space="preserve"> </w:t>
            </w:r>
            <w:r w:rsidR="001E2740" w:rsidRPr="00F462D6">
              <w:rPr>
                <w:bCs/>
                <w:szCs w:val="24"/>
                <w:lang w:val="en-US"/>
              </w:rPr>
              <w:t xml:space="preserve">which will </w:t>
            </w:r>
            <w:r w:rsidR="00527BE0" w:rsidRPr="00F462D6">
              <w:rPr>
                <w:bCs/>
                <w:szCs w:val="24"/>
                <w:lang w:val="en-US"/>
              </w:rPr>
              <w:t xml:space="preserve">study possible new allocations to </w:t>
            </w:r>
            <w:r w:rsidR="005315C9" w:rsidRPr="00F462D6">
              <w:rPr>
                <w:bCs/>
                <w:szCs w:val="24"/>
                <w:lang w:val="en-US"/>
              </w:rPr>
              <w:t>mobile-satellite service (</w:t>
            </w:r>
            <w:r w:rsidR="00527BE0" w:rsidRPr="00F462D6">
              <w:rPr>
                <w:bCs/>
                <w:szCs w:val="24"/>
                <w:lang w:val="en-US"/>
              </w:rPr>
              <w:t>MSS</w:t>
            </w:r>
            <w:r w:rsidR="005315C9" w:rsidRPr="00F462D6">
              <w:rPr>
                <w:bCs/>
                <w:szCs w:val="24"/>
                <w:lang w:val="en-US"/>
              </w:rPr>
              <w:t>)</w:t>
            </w:r>
            <w:r w:rsidR="00527BE0" w:rsidRPr="00F462D6">
              <w:rPr>
                <w:bCs/>
                <w:szCs w:val="24"/>
                <w:lang w:val="en-US"/>
              </w:rPr>
              <w:t xml:space="preserve"> </w:t>
            </w:r>
            <w:r w:rsidR="00AB5E01">
              <w:rPr>
                <w:lang w:val="en-US"/>
              </w:rPr>
              <w:t>in</w:t>
            </w:r>
            <w:r w:rsidR="00AB5E01" w:rsidRPr="00F462D6">
              <w:rPr>
                <w:lang w:val="en-US"/>
              </w:rPr>
              <w:t xml:space="preserve"> </w:t>
            </w:r>
            <w:r w:rsidR="005315C9" w:rsidRPr="00F462D6">
              <w:rPr>
                <w:lang w:val="en-US"/>
              </w:rPr>
              <w:t>frequency bands allocated to the mobile service on a primary basis and used for IMT or identified for IMT by country footnotes</w:t>
            </w:r>
            <w:r w:rsidR="005315C9" w:rsidRPr="00F462D6">
              <w:rPr>
                <w:bCs/>
                <w:szCs w:val="24"/>
                <w:lang w:val="en-US"/>
              </w:rPr>
              <w:t>.</w:t>
            </w:r>
          </w:p>
          <w:p w14:paraId="0D35BA59" w14:textId="77777777" w:rsidR="005315C9" w:rsidRDefault="005315C9" w:rsidP="005315C9">
            <w:pPr>
              <w:rPr>
                <w:bCs/>
                <w:szCs w:val="24"/>
                <w:lang w:val="en-US"/>
              </w:rPr>
            </w:pPr>
            <w:r w:rsidRPr="00F462D6">
              <w:rPr>
                <w:bCs/>
                <w:szCs w:val="24"/>
                <w:lang w:val="en-US"/>
              </w:rPr>
              <w:t xml:space="preserve">This </w:t>
            </w:r>
            <w:r w:rsidR="004E3288" w:rsidRPr="00F462D6">
              <w:rPr>
                <w:bCs/>
                <w:szCs w:val="24"/>
                <w:lang w:val="en-US"/>
              </w:rPr>
              <w:t xml:space="preserve">draft </w:t>
            </w:r>
            <w:proofErr w:type="gramStart"/>
            <w:r w:rsidR="004E3288" w:rsidRPr="00F462D6">
              <w:rPr>
                <w:bCs/>
                <w:szCs w:val="24"/>
                <w:lang w:val="en-US"/>
              </w:rPr>
              <w:t>reply</w:t>
            </w:r>
            <w:proofErr w:type="gramEnd"/>
            <w:r w:rsidR="004E3288" w:rsidRPr="00F462D6">
              <w:rPr>
                <w:bCs/>
                <w:szCs w:val="24"/>
                <w:lang w:val="en-US"/>
              </w:rPr>
              <w:t xml:space="preserve"> l</w:t>
            </w:r>
            <w:r w:rsidRPr="00F462D6">
              <w:rPr>
                <w:bCs/>
                <w:szCs w:val="24"/>
                <w:lang w:val="en-US"/>
              </w:rPr>
              <w:t xml:space="preserve">iaison statement will serve to </w:t>
            </w:r>
            <w:r w:rsidR="004E3288" w:rsidRPr="00F462D6">
              <w:rPr>
                <w:bCs/>
                <w:szCs w:val="24"/>
                <w:lang w:val="en-US"/>
              </w:rPr>
              <w:t xml:space="preserve">provide relevant information to WP </w:t>
            </w:r>
            <w:r w:rsidRPr="00F462D6">
              <w:rPr>
                <w:bCs/>
                <w:szCs w:val="24"/>
                <w:lang w:val="en-US"/>
              </w:rPr>
              <w:t>4C.</w:t>
            </w:r>
          </w:p>
          <w:p w14:paraId="3E814372" w14:textId="613AB129" w:rsidR="00837E09" w:rsidRPr="00F462D6" w:rsidRDefault="00837E09" w:rsidP="005315C9">
            <w:pPr>
              <w:rPr>
                <w:lang w:val="en-US" w:eastAsia="zh-CN"/>
              </w:rPr>
            </w:pPr>
            <w:r w:rsidRPr="00C510F1">
              <w:rPr>
                <w:bCs/>
                <w:szCs w:val="24"/>
                <w:highlight w:val="yellow"/>
                <w:u w:val="single"/>
                <w:lang w:val="en-US"/>
              </w:rPr>
              <w:t>Non-consensus Status:</w:t>
            </w:r>
            <w:r w:rsidRPr="00C510F1">
              <w:rPr>
                <w:bCs/>
                <w:szCs w:val="24"/>
                <w:highlight w:val="yellow"/>
                <w:lang w:val="en-US"/>
              </w:rPr>
              <w:t xml:space="preserve">  Objections were raised to mention of the cold sky calibration function that passive sensors perform. The text is indicated in square brackets in Annex 1.</w:t>
            </w:r>
          </w:p>
        </w:tc>
      </w:tr>
      <w:tr w:rsidR="00041EC7" w:rsidRPr="00F462D6" w14:paraId="43BFBF14" w14:textId="77777777" w:rsidTr="00B4776E">
        <w:trPr>
          <w:trHeight w:val="529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59F850B" w14:textId="131832DA" w:rsidR="00041EC7" w:rsidRPr="00F462D6" w:rsidRDefault="00041EC7" w:rsidP="004F7395">
            <w:pPr>
              <w:rPr>
                <w:b/>
                <w:szCs w:val="24"/>
                <w:lang w:val="en-US"/>
              </w:rPr>
            </w:pPr>
            <w:r w:rsidRPr="00F462D6">
              <w:rPr>
                <w:b/>
                <w:szCs w:val="24"/>
                <w:lang w:val="en-US"/>
              </w:rPr>
              <w:t>Fact Sheet Preparer:</w:t>
            </w:r>
            <w:r w:rsidR="00B4776E" w:rsidRPr="00F462D6">
              <w:rPr>
                <w:color w:val="000000"/>
                <w:szCs w:val="24"/>
                <w:lang w:val="en-US"/>
              </w:rPr>
              <w:t xml:space="preserve"> Jason Szklany, ADS for NASA</w:t>
            </w:r>
          </w:p>
        </w:tc>
      </w:tr>
    </w:tbl>
    <w:p w14:paraId="68A94D56" w14:textId="7419BD8D" w:rsidR="003D222C" w:rsidRPr="00F462D6" w:rsidRDefault="003D222C">
      <w:pPr>
        <w:rPr>
          <w:lang w:val="en-US"/>
        </w:r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70681" w:rsidRPr="00F462D6" w14:paraId="0E40AD5E" w14:textId="77777777" w:rsidTr="00394816">
        <w:trPr>
          <w:cantSplit/>
        </w:trPr>
        <w:tc>
          <w:tcPr>
            <w:tcW w:w="6487" w:type="dxa"/>
            <w:vAlign w:val="center"/>
          </w:tcPr>
          <w:p w14:paraId="7DCF2B6A" w14:textId="77777777" w:rsidR="00970681" w:rsidRPr="00F462D6" w:rsidRDefault="00970681" w:rsidP="0039481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r w:rsidRPr="00F462D6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0FC1860F" w14:textId="77777777" w:rsidR="00970681" w:rsidRPr="00F462D6" w:rsidRDefault="00970681" w:rsidP="00394816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F462D6">
              <w:rPr>
                <w:noProof/>
                <w:lang w:val="en-US"/>
              </w:rPr>
              <w:drawing>
                <wp:inline distT="0" distB="0" distL="0" distR="0" wp14:anchorId="164BE6FF" wp14:editId="07EBBA5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462D6" w14:paraId="7DFC89E3" w14:textId="77777777" w:rsidTr="003948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247A04D" w14:textId="77777777" w:rsidR="00970681" w:rsidRPr="00F462D6" w:rsidRDefault="00970681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DD89CE" w14:textId="77777777" w:rsidR="00970681" w:rsidRPr="00F462D6" w:rsidRDefault="00970681" w:rsidP="0039481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70681" w:rsidRPr="00F462D6" w14:paraId="36089CAF" w14:textId="77777777" w:rsidTr="003948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C42B296" w14:textId="77777777" w:rsidR="00970681" w:rsidRPr="00F462D6" w:rsidRDefault="00970681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5CA1EB4" w14:textId="77777777" w:rsidR="00970681" w:rsidRPr="00F462D6" w:rsidRDefault="00970681" w:rsidP="0039481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70681" w:rsidRPr="00F462D6" w14:paraId="2F79BD5B" w14:textId="77777777" w:rsidTr="00394816">
        <w:trPr>
          <w:cantSplit/>
        </w:trPr>
        <w:tc>
          <w:tcPr>
            <w:tcW w:w="6487" w:type="dxa"/>
            <w:vMerge w:val="restart"/>
          </w:tcPr>
          <w:p w14:paraId="036FAF62" w14:textId="77777777" w:rsidR="00970681" w:rsidRPr="00F462D6" w:rsidRDefault="00970681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F462D6">
              <w:rPr>
                <w:rFonts w:ascii="Verdana" w:hAnsi="Verdana"/>
                <w:sz w:val="20"/>
                <w:lang w:val="en-US"/>
              </w:rPr>
              <w:t>Source:</w:t>
            </w:r>
            <w:r w:rsidRPr="00F462D6">
              <w:rPr>
                <w:rFonts w:ascii="Verdana" w:hAnsi="Verdana"/>
                <w:sz w:val="20"/>
                <w:lang w:val="en-US"/>
              </w:rPr>
              <w:tab/>
              <w:t xml:space="preserve"> Document </w:t>
            </w:r>
            <w:proofErr w:type="spellStart"/>
            <w:r w:rsidRPr="00F462D6">
              <w:rPr>
                <w:rFonts w:ascii="Verdana" w:hAnsi="Verdana"/>
                <w:sz w:val="20"/>
                <w:lang w:val="en-US"/>
              </w:rPr>
              <w:t>xxxxxxxx</w:t>
            </w:r>
            <w:proofErr w:type="spellEnd"/>
          </w:p>
          <w:p w14:paraId="6EA7F2DA" w14:textId="3BB6BA5F" w:rsidR="00970681" w:rsidRPr="00F462D6" w:rsidRDefault="00970681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F462D6">
              <w:rPr>
                <w:rFonts w:ascii="Verdana" w:hAnsi="Verdana"/>
                <w:sz w:val="20"/>
                <w:lang w:val="en-US"/>
              </w:rPr>
              <w:t>Subject:</w:t>
            </w:r>
            <w:r w:rsidRPr="00F462D6">
              <w:rPr>
                <w:rFonts w:ascii="Verdana" w:hAnsi="Verdana"/>
                <w:sz w:val="20"/>
                <w:lang w:val="en-US"/>
              </w:rPr>
              <w:tab/>
              <w:t>WRC-27 agenda item 1.13</w:t>
            </w:r>
          </w:p>
        </w:tc>
        <w:tc>
          <w:tcPr>
            <w:tcW w:w="3402" w:type="dxa"/>
          </w:tcPr>
          <w:p w14:paraId="3C1C9480" w14:textId="77777777" w:rsidR="00970681" w:rsidRPr="00F462D6" w:rsidRDefault="00970681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F462D6">
              <w:rPr>
                <w:rFonts w:ascii="Verdana" w:hAnsi="Verdana"/>
                <w:b/>
                <w:sz w:val="20"/>
                <w:lang w:val="en-US" w:eastAsia="zh-CN"/>
              </w:rPr>
              <w:t>Document XX/-E</w:t>
            </w:r>
          </w:p>
        </w:tc>
      </w:tr>
      <w:tr w:rsidR="00970681" w:rsidRPr="00F462D6" w14:paraId="574888D2" w14:textId="77777777" w:rsidTr="00394816">
        <w:trPr>
          <w:cantSplit/>
        </w:trPr>
        <w:tc>
          <w:tcPr>
            <w:tcW w:w="6487" w:type="dxa"/>
            <w:vMerge/>
          </w:tcPr>
          <w:p w14:paraId="6C621124" w14:textId="77777777" w:rsidR="00970681" w:rsidRPr="00F462D6" w:rsidRDefault="00970681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9387E0E" w14:textId="77777777" w:rsidR="00970681" w:rsidRPr="00F462D6" w:rsidRDefault="00970681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F462D6">
              <w:rPr>
                <w:rFonts w:ascii="Verdana" w:hAnsi="Verdana"/>
                <w:b/>
                <w:sz w:val="20"/>
                <w:lang w:val="en-US" w:eastAsia="zh-CN"/>
              </w:rPr>
              <w:t>06 June 2024</w:t>
            </w:r>
          </w:p>
        </w:tc>
      </w:tr>
      <w:tr w:rsidR="00970681" w:rsidRPr="00F462D6" w14:paraId="1D07DE0E" w14:textId="77777777" w:rsidTr="00394816">
        <w:trPr>
          <w:cantSplit/>
        </w:trPr>
        <w:tc>
          <w:tcPr>
            <w:tcW w:w="6487" w:type="dxa"/>
            <w:vMerge/>
          </w:tcPr>
          <w:p w14:paraId="14B5C0CD" w14:textId="77777777" w:rsidR="00970681" w:rsidRPr="00F462D6" w:rsidRDefault="00970681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BB22A27" w14:textId="77777777" w:rsidR="00970681" w:rsidRPr="00F462D6" w:rsidRDefault="00970681" w:rsidP="0039481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F462D6">
              <w:rPr>
                <w:rFonts w:ascii="Verdana" w:eastAsia="SimSun" w:hAnsi="Verdana"/>
                <w:b/>
                <w:sz w:val="20"/>
                <w:lang w:val="en-US" w:eastAsia="zh-CN"/>
              </w:rPr>
              <w:t>Original: English</w:t>
            </w:r>
          </w:p>
        </w:tc>
      </w:tr>
      <w:tr w:rsidR="00970681" w:rsidRPr="00F462D6" w14:paraId="611F6A7A" w14:textId="77777777" w:rsidTr="00394816">
        <w:trPr>
          <w:cantSplit/>
        </w:trPr>
        <w:tc>
          <w:tcPr>
            <w:tcW w:w="9889" w:type="dxa"/>
            <w:gridSpan w:val="2"/>
          </w:tcPr>
          <w:p w14:paraId="51DE884A" w14:textId="77777777" w:rsidR="00970681" w:rsidRPr="00F462D6" w:rsidRDefault="00970681" w:rsidP="00394816">
            <w:pPr>
              <w:pStyle w:val="Source"/>
              <w:rPr>
                <w:szCs w:val="28"/>
                <w:lang w:val="en-US" w:eastAsia="zh-CN"/>
              </w:rPr>
            </w:pPr>
            <w:bookmarkStart w:id="5" w:name="dsource" w:colFirst="0" w:colLast="0"/>
            <w:bookmarkEnd w:id="4"/>
            <w:r w:rsidRPr="00F462D6">
              <w:rPr>
                <w:szCs w:val="28"/>
                <w:lang w:val="en-US" w:eastAsia="zh-CN"/>
              </w:rPr>
              <w:t>United States of America</w:t>
            </w:r>
          </w:p>
        </w:tc>
      </w:tr>
      <w:tr w:rsidR="00970681" w:rsidRPr="00F462D6" w14:paraId="2228D338" w14:textId="77777777" w:rsidTr="00394816">
        <w:trPr>
          <w:cantSplit/>
        </w:trPr>
        <w:tc>
          <w:tcPr>
            <w:tcW w:w="9889" w:type="dxa"/>
            <w:gridSpan w:val="2"/>
          </w:tcPr>
          <w:p w14:paraId="0751EA83" w14:textId="77777777" w:rsidR="00C83E4C" w:rsidRDefault="00C83E4C" w:rsidP="00394816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</w:p>
          <w:p w14:paraId="2EBF6EA3" w14:textId="26213676" w:rsidR="00923C55" w:rsidRPr="00837E09" w:rsidRDefault="009D4109" w:rsidP="00394816">
            <w:pPr>
              <w:pStyle w:val="Title1"/>
              <w:rPr>
                <w:lang w:val="en-US" w:eastAsia="zh-CN"/>
              </w:rPr>
            </w:pPr>
            <w:r w:rsidRPr="00837E09">
              <w:rPr>
                <w:lang w:val="en-US" w:eastAsia="zh-CN"/>
              </w:rPr>
              <w:t xml:space="preserve">proposed reply liaison statement to working party </w:t>
            </w:r>
            <w:r w:rsidR="00C7207A" w:rsidRPr="00837E09">
              <w:rPr>
                <w:lang w:val="en-US" w:eastAsia="zh-CN"/>
              </w:rPr>
              <w:t>4</w:t>
            </w:r>
            <w:r w:rsidRPr="00837E09">
              <w:rPr>
                <w:lang w:val="en-US" w:eastAsia="zh-CN"/>
              </w:rPr>
              <w:t>C regarding WRC-27 agenda item 1.13</w:t>
            </w:r>
          </w:p>
          <w:p w14:paraId="05492535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5DC46808" w14:textId="77777777" w:rsidR="00F8606C" w:rsidRPr="00837E09" w:rsidRDefault="00F8606C" w:rsidP="00837E09">
            <w:pPr>
              <w:rPr>
                <w:lang w:val="en-US" w:eastAsia="zh-CN"/>
              </w:rPr>
            </w:pPr>
          </w:p>
          <w:p w14:paraId="415BCE45" w14:textId="7C874201" w:rsidR="00923C55" w:rsidRPr="00837E09" w:rsidRDefault="00F8606C" w:rsidP="00F8606C">
            <w:r w:rsidRPr="00837E09">
              <w:rPr>
                <w:lang w:val="en-US" w:eastAsia="zh-CN"/>
              </w:rPr>
              <w:t>The Administrative Circular CA/270 identifies Working Party (WP) 4C as responsible group and WP 7C as a contributing group for WRC-27 Agenda Item 1.13 which calls for</w:t>
            </w:r>
            <w:r w:rsidR="00D17EE6" w:rsidRPr="00837E09">
              <w:rPr>
                <w:lang w:val="en-US" w:eastAsia="zh-CN"/>
              </w:rPr>
              <w:t xml:space="preserve"> </w:t>
            </w:r>
            <w:r w:rsidR="00D17EE6" w:rsidRPr="00837E09">
              <w:t>studies on possible new allocations to the mobile satellite service for direct connectivity between space</w:t>
            </w:r>
            <w:r w:rsidR="00214CD1" w:rsidRPr="00837E09">
              <w:t xml:space="preserve"> stations and International Mobile Telecommunications (IMT) user equipment to complement terrestrial IMT network coverage.</w:t>
            </w:r>
          </w:p>
          <w:p w14:paraId="1EF1F48C" w14:textId="77777777" w:rsidR="006E2ED3" w:rsidRPr="00837E09" w:rsidRDefault="006E2ED3" w:rsidP="00F8606C"/>
          <w:p w14:paraId="2845C557" w14:textId="6A617792" w:rsidR="006E2ED3" w:rsidRPr="00837E09" w:rsidRDefault="006E2ED3" w:rsidP="006E2ED3">
            <w:pPr>
              <w:rPr>
                <w:lang w:eastAsia="zh-CN"/>
              </w:rPr>
            </w:pPr>
            <w:r w:rsidRPr="00837E09">
              <w:rPr>
                <w:lang w:eastAsia="zh-CN"/>
              </w:rPr>
              <w:t xml:space="preserve">In document 7C/50, </w:t>
            </w:r>
            <w:r w:rsidR="00C7207A" w:rsidRPr="00837E09">
              <w:rPr>
                <w:lang w:eastAsia="zh-CN"/>
              </w:rPr>
              <w:t>WP</w:t>
            </w:r>
            <w:r w:rsidRPr="00837E09">
              <w:rPr>
                <w:lang w:eastAsia="zh-CN"/>
              </w:rPr>
              <w:t xml:space="preserve"> 4C requested relevant technical and operational characteristics and protection criteria for frequencies </w:t>
            </w:r>
            <w:r w:rsidR="00FE5C90" w:rsidRPr="00837E09">
              <w:t>in the frequency range between 694/698 MHz and 2.7 GHz</w:t>
            </w:r>
            <w:r w:rsidRPr="00837E09">
              <w:rPr>
                <w:lang w:eastAsia="zh-CN"/>
              </w:rPr>
              <w:t>.  This document propose</w:t>
            </w:r>
            <w:r w:rsidR="00C7207A" w:rsidRPr="00837E09">
              <w:rPr>
                <w:lang w:eastAsia="zh-CN"/>
              </w:rPr>
              <w:t>s a</w:t>
            </w:r>
            <w:r w:rsidRPr="00837E09">
              <w:rPr>
                <w:lang w:eastAsia="zh-CN"/>
              </w:rPr>
              <w:t xml:space="preserve"> draft liaison statement that contain</w:t>
            </w:r>
            <w:r w:rsidR="00C7207A" w:rsidRPr="00837E09">
              <w:rPr>
                <w:lang w:eastAsia="zh-CN"/>
              </w:rPr>
              <w:t>s</w:t>
            </w:r>
            <w:r w:rsidRPr="00837E09">
              <w:rPr>
                <w:lang w:eastAsia="zh-CN"/>
              </w:rPr>
              <w:t xml:space="preserve"> characteristics </w:t>
            </w:r>
            <w:r w:rsidR="00C7207A" w:rsidRPr="00837E09">
              <w:rPr>
                <w:lang w:eastAsia="zh-CN"/>
              </w:rPr>
              <w:t>and</w:t>
            </w:r>
            <w:r w:rsidRPr="00837E09">
              <w:rPr>
                <w:lang w:eastAsia="zh-CN"/>
              </w:rPr>
              <w:t xml:space="preserve"> criteria to be sent to WP 4C in support of any necessary studies on </w:t>
            </w:r>
            <w:r w:rsidR="00C7207A" w:rsidRPr="00837E09">
              <w:rPr>
                <w:lang w:eastAsia="zh-CN"/>
              </w:rPr>
              <w:t>A</w:t>
            </w:r>
            <w:r w:rsidRPr="00837E09">
              <w:rPr>
                <w:lang w:eastAsia="zh-CN"/>
              </w:rPr>
              <w:t xml:space="preserve">genda </w:t>
            </w:r>
            <w:r w:rsidR="00C7207A" w:rsidRPr="00837E09">
              <w:rPr>
                <w:lang w:eastAsia="zh-CN"/>
              </w:rPr>
              <w:t>I</w:t>
            </w:r>
            <w:r w:rsidRPr="00837E09">
              <w:rPr>
                <w:lang w:eastAsia="zh-CN"/>
              </w:rPr>
              <w:t>tem 1.1</w:t>
            </w:r>
            <w:r w:rsidR="00C972E8" w:rsidRPr="00837E09">
              <w:rPr>
                <w:lang w:eastAsia="zh-CN"/>
              </w:rPr>
              <w:t>3</w:t>
            </w:r>
            <w:r w:rsidRPr="00837E09">
              <w:rPr>
                <w:lang w:eastAsia="zh-CN"/>
              </w:rPr>
              <w:t>.</w:t>
            </w:r>
          </w:p>
          <w:p w14:paraId="2A0F4421" w14:textId="77777777" w:rsidR="006E2ED3" w:rsidRPr="00837E09" w:rsidRDefault="006E2ED3" w:rsidP="00837E09">
            <w:pPr>
              <w:rPr>
                <w:lang w:eastAsia="zh-CN"/>
              </w:rPr>
            </w:pPr>
          </w:p>
          <w:p w14:paraId="6E570462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0736BA35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283DF3B4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0EAA5192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3041BD5C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56FE3D0A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3A38F756" w14:textId="77777777" w:rsidR="00923C55" w:rsidRPr="00837E09" w:rsidRDefault="00923C55" w:rsidP="00394816">
            <w:pPr>
              <w:pStyle w:val="Title1"/>
              <w:rPr>
                <w:lang w:val="en-US" w:eastAsia="zh-CN"/>
              </w:rPr>
            </w:pPr>
          </w:p>
          <w:p w14:paraId="4650CFE2" w14:textId="2C4BBB61" w:rsidR="00923C55" w:rsidRPr="00837E09" w:rsidRDefault="006E2ED3" w:rsidP="006E2ED3">
            <w:pPr>
              <w:pStyle w:val="Title1"/>
            </w:pPr>
            <w:r w:rsidRPr="00837E09">
              <w:lastRenderedPageBreak/>
              <w:t>Attachment</w:t>
            </w:r>
          </w:p>
          <w:p w14:paraId="151A7A51" w14:textId="77777777" w:rsidR="00082FCB" w:rsidRPr="00837E09" w:rsidRDefault="00082FCB" w:rsidP="00082FCB"/>
          <w:p w14:paraId="579EDBB8" w14:textId="77777777" w:rsidR="00082FCB" w:rsidRPr="00837E09" w:rsidRDefault="00082FCB" w:rsidP="00082FCB">
            <w:pPr>
              <w:pStyle w:val="Title1"/>
              <w:rPr>
                <w:b/>
                <w:bCs/>
                <w:lang w:val="en-US" w:eastAsia="zh-CN"/>
              </w:rPr>
            </w:pPr>
            <w:r w:rsidRPr="00837E09">
              <w:rPr>
                <w:b/>
                <w:bCs/>
                <w:lang w:val="en-US" w:eastAsia="zh-CN"/>
              </w:rPr>
              <w:t>Working Party 7c</w:t>
            </w:r>
          </w:p>
          <w:p w14:paraId="22444B85" w14:textId="77777777" w:rsidR="00082FCB" w:rsidRPr="00837E09" w:rsidRDefault="00082FCB" w:rsidP="00837E09"/>
          <w:p w14:paraId="0D44C43B" w14:textId="3834FE92" w:rsidR="00970681" w:rsidRPr="00F462D6" w:rsidRDefault="00970681" w:rsidP="00394816">
            <w:pPr>
              <w:pStyle w:val="Title1"/>
              <w:rPr>
                <w:lang w:val="en-US" w:eastAsia="zh-CN"/>
              </w:rPr>
            </w:pPr>
            <w:r w:rsidRPr="00837E09">
              <w:rPr>
                <w:lang w:val="en-US" w:eastAsia="zh-CN"/>
              </w:rPr>
              <w:t xml:space="preserve">proposed reply liaison statement to working party </w:t>
            </w:r>
            <w:r w:rsidR="00C7207A" w:rsidRPr="00837E09">
              <w:rPr>
                <w:lang w:val="en-US" w:eastAsia="zh-CN"/>
              </w:rPr>
              <w:t>4</w:t>
            </w:r>
            <w:r w:rsidRPr="00837E09">
              <w:rPr>
                <w:lang w:val="en-US" w:eastAsia="zh-CN"/>
              </w:rPr>
              <w:t>C regarding WRC-27 agenda item 1.13</w:t>
            </w:r>
          </w:p>
        </w:tc>
      </w:tr>
      <w:tr w:rsidR="00970681" w:rsidRPr="00F462D6" w14:paraId="76258F2F" w14:textId="77777777" w:rsidTr="00394816">
        <w:trPr>
          <w:cantSplit/>
        </w:trPr>
        <w:tc>
          <w:tcPr>
            <w:tcW w:w="9889" w:type="dxa"/>
            <w:gridSpan w:val="2"/>
          </w:tcPr>
          <w:p w14:paraId="133BBF46" w14:textId="77777777" w:rsidR="00970681" w:rsidRPr="00F462D6" w:rsidRDefault="00970681" w:rsidP="00394816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</w:tc>
      </w:tr>
      <w:bookmarkEnd w:id="7"/>
    </w:tbl>
    <w:p w14:paraId="19F2E51A" w14:textId="18002932" w:rsidR="00970681" w:rsidRPr="00F462D6" w:rsidRDefault="00970681" w:rsidP="00970681">
      <w:pPr>
        <w:pStyle w:val="Headingb"/>
        <w:jc w:val="center"/>
        <w:rPr>
          <w:sz w:val="28"/>
          <w:szCs w:val="24"/>
          <w:lang w:val="en-US" w:eastAsia="zh-CN"/>
        </w:rPr>
      </w:pPr>
    </w:p>
    <w:p w14:paraId="6C2EA953" w14:textId="77777777" w:rsidR="00970681" w:rsidRPr="00F462D6" w:rsidRDefault="00970681" w:rsidP="00970681">
      <w:pPr>
        <w:rPr>
          <w:lang w:val="en-US" w:eastAsia="zh-CN"/>
        </w:rPr>
      </w:pPr>
    </w:p>
    <w:p w14:paraId="27ECD9E1" w14:textId="7185130C" w:rsidR="00970681" w:rsidRPr="00F462D6" w:rsidRDefault="00970681" w:rsidP="00970681">
      <w:pPr>
        <w:rPr>
          <w:lang w:val="en-US"/>
        </w:rPr>
      </w:pPr>
      <w:r w:rsidRPr="00F462D6">
        <w:rPr>
          <w:lang w:val="en-US" w:eastAsia="zh-CN"/>
        </w:rPr>
        <w:t xml:space="preserve">Working Party (WP) 7C thanks WP 4C for its liaison statement in </w:t>
      </w:r>
      <w:hyperlink r:id="rId13" w:history="1">
        <w:r w:rsidRPr="00C8115D">
          <w:rPr>
            <w:rStyle w:val="Hyperlink"/>
            <w:lang w:val="en-US" w:eastAsia="zh-CN"/>
          </w:rPr>
          <w:t>Document 7C/50</w:t>
        </w:r>
      </w:hyperlink>
      <w:r w:rsidRPr="00F462D6">
        <w:rPr>
          <w:lang w:val="en-US"/>
        </w:rPr>
        <w:t xml:space="preserve"> seeking relevant technical information to support studies</w:t>
      </w:r>
      <w:r w:rsidR="00C8115D">
        <w:rPr>
          <w:lang w:val="en-US"/>
        </w:rPr>
        <w:t xml:space="preserve"> supporting Resolution 253 for</w:t>
      </w:r>
      <w:r w:rsidRPr="00F462D6">
        <w:rPr>
          <w:lang w:val="en-US"/>
        </w:rPr>
        <w:t xml:space="preserve"> WRC-27 </w:t>
      </w:r>
      <w:r w:rsidR="00C8115D">
        <w:rPr>
          <w:lang w:val="en-US"/>
        </w:rPr>
        <w:t>A</w:t>
      </w:r>
      <w:r w:rsidRPr="00F462D6">
        <w:rPr>
          <w:lang w:val="en-US"/>
        </w:rPr>
        <w:t xml:space="preserve">genda </w:t>
      </w:r>
      <w:r w:rsidR="00C8115D">
        <w:rPr>
          <w:lang w:val="en-US"/>
        </w:rPr>
        <w:t>I</w:t>
      </w:r>
      <w:r w:rsidRPr="00F462D6">
        <w:rPr>
          <w:lang w:val="en-US"/>
        </w:rPr>
        <w:t xml:space="preserve">tem 1.13.  In the frequency </w:t>
      </w:r>
      <w:r w:rsidR="00C8115D">
        <w:rPr>
          <w:lang w:val="en-US"/>
        </w:rPr>
        <w:t>bands</w:t>
      </w:r>
      <w:r w:rsidRPr="00F462D6">
        <w:rPr>
          <w:lang w:val="en-US"/>
        </w:rPr>
        <w:t xml:space="preserve"> identified for study </w:t>
      </w:r>
      <w:r w:rsidR="00C8115D">
        <w:rPr>
          <w:lang w:val="en-US"/>
        </w:rPr>
        <w:t xml:space="preserve">in </w:t>
      </w:r>
      <w:hyperlink r:id="rId14" w:history="1">
        <w:r w:rsidR="00C8115D" w:rsidRPr="00C8115D">
          <w:rPr>
            <w:rStyle w:val="Hyperlink"/>
            <w:lang w:val="en-US" w:eastAsia="zh-CN"/>
          </w:rPr>
          <w:t>Document 7C/50</w:t>
        </w:r>
      </w:hyperlink>
      <w:r w:rsidRPr="00F462D6">
        <w:rPr>
          <w:lang w:val="en-US"/>
        </w:rPr>
        <w:t>, the following are bands containing adjacent allocations under the purview of Working Party 7C:</w:t>
      </w:r>
    </w:p>
    <w:p w14:paraId="13C57468" w14:textId="77777777" w:rsidR="00F462D6" w:rsidRPr="00F462D6" w:rsidRDefault="00F462D6" w:rsidP="00970681">
      <w:pPr>
        <w:rPr>
          <w:lang w:val="en-US"/>
        </w:rPr>
      </w:pPr>
    </w:p>
    <w:p w14:paraId="2C687220" w14:textId="43E2C6B6" w:rsidR="00970681" w:rsidRPr="00F462D6" w:rsidRDefault="00970681" w:rsidP="00970681">
      <w:pPr>
        <w:pStyle w:val="ListParagraph"/>
        <w:numPr>
          <w:ilvl w:val="0"/>
          <w:numId w:val="2"/>
        </w:numPr>
        <w:rPr>
          <w:rFonts w:eastAsia="SimSun"/>
          <w:lang w:val="en-US"/>
        </w:rPr>
      </w:pPr>
      <w:r w:rsidRPr="00F462D6">
        <w:rPr>
          <w:rFonts w:eastAsia="SimSun"/>
          <w:lang w:val="en-US"/>
        </w:rPr>
        <w:t xml:space="preserve">1 400-1 427 MHz: This band is subject to RR No. </w:t>
      </w:r>
      <w:r w:rsidRPr="00F462D6">
        <w:rPr>
          <w:rFonts w:eastAsia="SimSun"/>
          <w:b/>
          <w:bCs/>
          <w:lang w:val="en-US"/>
        </w:rPr>
        <w:t>5.340</w:t>
      </w:r>
      <w:r w:rsidRPr="00F462D6">
        <w:rPr>
          <w:rFonts w:eastAsia="SimSun"/>
          <w:lang w:val="en-US"/>
        </w:rPr>
        <w:t xml:space="preserve"> (all emissions are prohibited).  Information pertaining to this adjacent allocation is located in Annex 1.</w:t>
      </w:r>
    </w:p>
    <w:p w14:paraId="3DEEF803" w14:textId="77777777" w:rsidR="00970681" w:rsidRPr="00F462D6" w:rsidRDefault="00970681" w:rsidP="00970681">
      <w:pPr>
        <w:pStyle w:val="ListParagraph"/>
        <w:ind w:left="780"/>
        <w:rPr>
          <w:rFonts w:eastAsia="SimSun"/>
          <w:lang w:val="en-US"/>
        </w:rPr>
      </w:pPr>
    </w:p>
    <w:p w14:paraId="2674CD87" w14:textId="77777777" w:rsidR="00970681" w:rsidRPr="00F462D6" w:rsidRDefault="00970681" w:rsidP="00970681">
      <w:pPr>
        <w:rPr>
          <w:lang w:val="en-US"/>
        </w:rPr>
      </w:pPr>
    </w:p>
    <w:p w14:paraId="43DE5F95" w14:textId="77777777" w:rsidR="00F462D6" w:rsidRPr="00F462D6" w:rsidRDefault="00F462D6" w:rsidP="00F462D6">
      <w:pPr>
        <w:rPr>
          <w:lang w:val="en-US"/>
        </w:rPr>
      </w:pPr>
      <w:r w:rsidRPr="00F462D6">
        <w:rPr>
          <w:lang w:val="en-US" w:eastAsia="zh-CN"/>
        </w:rPr>
        <w:t xml:space="preserve">Working Party 7C appreciates being kept informed of the status of all studies regarding EESS systems </w:t>
      </w:r>
      <w:r w:rsidRPr="00F462D6">
        <w:rPr>
          <w:lang w:val="en-US"/>
        </w:rPr>
        <w:t>and looks forward to collaboration on other WRC-27 agenda items.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F462D6" w:rsidRPr="00F462D6" w14:paraId="3A80F0AC" w14:textId="77777777" w:rsidTr="00394816">
        <w:tc>
          <w:tcPr>
            <w:tcW w:w="9180" w:type="dxa"/>
            <w:gridSpan w:val="2"/>
          </w:tcPr>
          <w:p w14:paraId="2AC1EC73" w14:textId="77777777" w:rsidR="00F462D6" w:rsidRPr="00F462D6" w:rsidRDefault="00F462D6" w:rsidP="00394816">
            <w:pPr>
              <w:rPr>
                <w:b/>
                <w:bCs/>
                <w:lang w:val="en-US" w:eastAsia="ja-JP"/>
              </w:rPr>
            </w:pPr>
          </w:p>
          <w:p w14:paraId="6C98BC69" w14:textId="77777777" w:rsidR="00F462D6" w:rsidRPr="00F462D6" w:rsidRDefault="00F462D6" w:rsidP="00394816">
            <w:pPr>
              <w:rPr>
                <w:szCs w:val="24"/>
                <w:lang w:val="en-US"/>
              </w:rPr>
            </w:pPr>
            <w:r w:rsidRPr="00F462D6">
              <w:rPr>
                <w:b/>
                <w:bCs/>
                <w:lang w:val="en-US" w:eastAsia="ja-JP"/>
              </w:rPr>
              <w:t xml:space="preserve">Status: </w:t>
            </w:r>
            <w:r w:rsidRPr="00F462D6">
              <w:rPr>
                <w:szCs w:val="24"/>
                <w:lang w:val="en-US" w:eastAsia="ja-JP"/>
              </w:rPr>
              <w:tab/>
            </w:r>
            <w:r w:rsidRPr="00F462D6">
              <w:rPr>
                <w:lang w:val="en-US" w:eastAsia="ja-JP"/>
              </w:rPr>
              <w:t xml:space="preserve">For information and action, if any </w:t>
            </w:r>
          </w:p>
        </w:tc>
      </w:tr>
      <w:tr w:rsidR="00F462D6" w:rsidRPr="00F462D6" w14:paraId="5CD3DB70" w14:textId="77777777" w:rsidTr="00394816">
        <w:tc>
          <w:tcPr>
            <w:tcW w:w="4590" w:type="dxa"/>
          </w:tcPr>
          <w:p w14:paraId="7F9DB8F1" w14:textId="77777777" w:rsidR="00F462D6" w:rsidRPr="00F462D6" w:rsidRDefault="00F462D6" w:rsidP="00394816">
            <w:pPr>
              <w:rPr>
                <w:lang w:val="en-US"/>
              </w:rPr>
            </w:pPr>
            <w:r w:rsidRPr="00F462D6">
              <w:rPr>
                <w:b/>
                <w:bCs/>
                <w:lang w:val="en-US" w:eastAsia="ja-JP"/>
              </w:rPr>
              <w:t xml:space="preserve">Contacts: </w:t>
            </w:r>
            <w:r w:rsidRPr="00F462D6">
              <w:rPr>
                <w:b/>
                <w:bCs/>
                <w:lang w:val="en-US" w:eastAsia="ja-JP"/>
              </w:rPr>
              <w:tab/>
            </w:r>
            <w:proofErr w:type="spellStart"/>
            <w:r w:rsidRPr="00F462D6">
              <w:rPr>
                <w:lang w:val="en-US"/>
              </w:rPr>
              <w:t>xxxxxxx</w:t>
            </w:r>
            <w:proofErr w:type="spellEnd"/>
            <w:r w:rsidRPr="00F462D6">
              <w:rPr>
                <w:lang w:val="en-US"/>
              </w:rPr>
              <w:t xml:space="preserve"> </w:t>
            </w:r>
            <w:proofErr w:type="spellStart"/>
            <w:r w:rsidRPr="00F462D6">
              <w:rPr>
                <w:lang w:val="en-US"/>
              </w:rPr>
              <w:t>xxxxxxx</w:t>
            </w:r>
            <w:proofErr w:type="spellEnd"/>
          </w:p>
          <w:p w14:paraId="60CCFA2C" w14:textId="77777777" w:rsidR="00F462D6" w:rsidRPr="00F462D6" w:rsidRDefault="00F462D6" w:rsidP="00394816">
            <w:pPr>
              <w:rPr>
                <w:szCs w:val="24"/>
                <w:lang w:val="en-US"/>
              </w:rPr>
            </w:pPr>
            <w:r w:rsidRPr="00F462D6">
              <w:rPr>
                <w:szCs w:val="24"/>
                <w:lang w:val="en-US"/>
              </w:rPr>
              <w:tab/>
            </w:r>
            <w:proofErr w:type="spellStart"/>
            <w:r w:rsidRPr="00F462D6">
              <w:rPr>
                <w:szCs w:val="24"/>
                <w:lang w:val="en-US"/>
              </w:rPr>
              <w:t>Xxxxxxx</w:t>
            </w:r>
            <w:proofErr w:type="spellEnd"/>
            <w:r w:rsidRPr="00F462D6">
              <w:rPr>
                <w:szCs w:val="24"/>
                <w:lang w:val="en-US"/>
              </w:rPr>
              <w:t xml:space="preserve"> </w:t>
            </w:r>
            <w:proofErr w:type="spellStart"/>
            <w:r w:rsidRPr="00F462D6">
              <w:rPr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4590" w:type="dxa"/>
          </w:tcPr>
          <w:p w14:paraId="32A6574E" w14:textId="77777777" w:rsidR="00F462D6" w:rsidRPr="00F462D6" w:rsidRDefault="00F462D6" w:rsidP="00394816">
            <w:pPr>
              <w:rPr>
                <w:rStyle w:val="Hyperlink"/>
                <w:lang w:val="en-US"/>
              </w:rPr>
            </w:pPr>
            <w:r w:rsidRPr="00F462D6">
              <w:rPr>
                <w:b/>
                <w:bCs/>
                <w:lang w:val="en-US"/>
              </w:rPr>
              <w:t>E-mail:</w:t>
            </w:r>
            <w:r w:rsidRPr="00F462D6">
              <w:rPr>
                <w:b/>
                <w:bCs/>
                <w:lang w:val="en-US"/>
              </w:rPr>
              <w:tab/>
            </w:r>
            <w:proofErr w:type="spellStart"/>
            <w:r w:rsidRPr="00F462D6">
              <w:rPr>
                <w:lang w:val="en-US"/>
              </w:rPr>
              <w:t>xxxxxxxxxxx</w:t>
            </w:r>
            <w:proofErr w:type="spellEnd"/>
          </w:p>
          <w:p w14:paraId="327025B3" w14:textId="77777777" w:rsidR="00F462D6" w:rsidRPr="00F462D6" w:rsidRDefault="00F462D6" w:rsidP="00394816">
            <w:pPr>
              <w:rPr>
                <w:color w:val="0000FF"/>
                <w:lang w:val="en-US"/>
              </w:rPr>
            </w:pPr>
            <w:r w:rsidRPr="00F462D6">
              <w:rPr>
                <w:b/>
                <w:bCs/>
                <w:color w:val="000000" w:themeColor="text1"/>
                <w:szCs w:val="24"/>
                <w:lang w:val="en-US"/>
              </w:rPr>
              <w:t>E-mail</w:t>
            </w:r>
            <w:r w:rsidRPr="00F462D6">
              <w:rPr>
                <w:color w:val="000000" w:themeColor="text1"/>
                <w:szCs w:val="24"/>
                <w:lang w:val="en-US"/>
              </w:rPr>
              <w:t>:</w:t>
            </w:r>
            <w:r w:rsidRPr="00F462D6">
              <w:rPr>
                <w:color w:val="000000" w:themeColor="text1"/>
                <w:szCs w:val="24"/>
                <w:lang w:val="en-US"/>
              </w:rPr>
              <w:tab/>
            </w:r>
            <w:proofErr w:type="spellStart"/>
            <w:r w:rsidRPr="00F462D6">
              <w:rPr>
                <w:lang w:val="en-US"/>
              </w:rPr>
              <w:t>xxxxxxxxxxx</w:t>
            </w:r>
            <w:proofErr w:type="spellEnd"/>
            <w:r w:rsidRPr="00F462D6">
              <w:rPr>
                <w:color w:val="0000FF"/>
                <w:lang w:val="en-US"/>
              </w:rPr>
              <w:t xml:space="preserve"> </w:t>
            </w:r>
          </w:p>
          <w:p w14:paraId="1363201E" w14:textId="77777777" w:rsidR="00F462D6" w:rsidRPr="00F462D6" w:rsidRDefault="00F462D6" w:rsidP="00394816">
            <w:pPr>
              <w:rPr>
                <w:lang w:val="en-US"/>
              </w:rPr>
            </w:pPr>
          </w:p>
        </w:tc>
      </w:tr>
    </w:tbl>
    <w:p w14:paraId="20157C9C" w14:textId="190F6505" w:rsidR="000069D4" w:rsidRPr="00F462D6" w:rsidRDefault="000069D4" w:rsidP="00DD4BED">
      <w:pPr>
        <w:rPr>
          <w:lang w:val="en-US" w:eastAsia="zh-CN"/>
        </w:rPr>
      </w:pPr>
    </w:p>
    <w:p w14:paraId="7EA31CDF" w14:textId="52978FB8" w:rsidR="00F462D6" w:rsidRPr="00F462D6" w:rsidRDefault="00F462D6" w:rsidP="00DD4BED">
      <w:pPr>
        <w:rPr>
          <w:lang w:val="en-US" w:eastAsia="zh-CN"/>
        </w:rPr>
      </w:pPr>
    </w:p>
    <w:p w14:paraId="1B7177AA" w14:textId="6B0864DC" w:rsidR="00F462D6" w:rsidRPr="00F462D6" w:rsidRDefault="00F462D6" w:rsidP="00DD4BED">
      <w:pPr>
        <w:rPr>
          <w:lang w:val="en-US" w:eastAsia="zh-CN"/>
        </w:rPr>
      </w:pPr>
    </w:p>
    <w:p w14:paraId="3C123D4A" w14:textId="22C612FB" w:rsidR="00F462D6" w:rsidRPr="00F462D6" w:rsidRDefault="00F462D6" w:rsidP="00DD4BED">
      <w:pPr>
        <w:rPr>
          <w:lang w:val="en-US" w:eastAsia="zh-CN"/>
        </w:rPr>
      </w:pPr>
    </w:p>
    <w:p w14:paraId="2A12F00A" w14:textId="77777777" w:rsidR="00837E09" w:rsidRDefault="00837E0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  <w:lang w:val="en-US"/>
        </w:rPr>
      </w:pPr>
      <w:r>
        <w:rPr>
          <w:lang w:val="en-US"/>
        </w:rPr>
        <w:br w:type="page"/>
      </w:r>
    </w:p>
    <w:p w14:paraId="6C52EDDA" w14:textId="76DA26E4" w:rsidR="00F462D6" w:rsidRPr="00F462D6" w:rsidRDefault="00F462D6" w:rsidP="00F462D6">
      <w:pPr>
        <w:pStyle w:val="Annextitle"/>
        <w:rPr>
          <w:lang w:val="en-US"/>
        </w:rPr>
      </w:pPr>
      <w:r w:rsidRPr="00F462D6">
        <w:rPr>
          <w:lang w:val="en-US"/>
        </w:rPr>
        <w:lastRenderedPageBreak/>
        <w:t>Annex 1</w:t>
      </w:r>
    </w:p>
    <w:p w14:paraId="447BC047" w14:textId="5FCAB63B" w:rsidR="00F462D6" w:rsidRPr="00F462D6" w:rsidRDefault="00F462D6" w:rsidP="00F462D6">
      <w:pPr>
        <w:pStyle w:val="Annextitle"/>
        <w:rPr>
          <w:lang w:val="en-US" w:eastAsia="zh-CN"/>
        </w:rPr>
      </w:pPr>
      <w:r w:rsidRPr="00F462D6">
        <w:rPr>
          <w:lang w:val="en-US" w:eastAsia="zh-CN"/>
        </w:rPr>
        <w:t xml:space="preserve">Information pertaining to EESS (passive) allocations in the </w:t>
      </w:r>
      <w:r w:rsidRPr="00F462D6">
        <w:rPr>
          <w:lang w:val="en-US" w:eastAsia="zh-CN"/>
        </w:rPr>
        <w:br/>
        <w:t>1 400-1 427 MHz frequency band.</w:t>
      </w:r>
    </w:p>
    <w:p w14:paraId="5A8C35D7" w14:textId="77777777" w:rsidR="00F462D6" w:rsidRPr="00F462D6" w:rsidRDefault="00F462D6" w:rsidP="00F462D6">
      <w:pPr>
        <w:rPr>
          <w:lang w:val="en-US" w:eastAsia="zh-CN"/>
        </w:rPr>
      </w:pPr>
    </w:p>
    <w:p w14:paraId="4FFA4EF9" w14:textId="77777777" w:rsidR="00F462D6" w:rsidRPr="00F462D6" w:rsidRDefault="00F462D6" w:rsidP="00F462D6">
      <w:pPr>
        <w:rPr>
          <w:b/>
          <w:bCs/>
          <w:lang w:val="en-US"/>
        </w:rPr>
      </w:pPr>
      <w:r w:rsidRPr="00F462D6">
        <w:rPr>
          <w:b/>
          <w:bCs/>
          <w:lang w:val="en-US"/>
        </w:rPr>
        <w:t>Interference criteria</w:t>
      </w:r>
    </w:p>
    <w:p w14:paraId="50B48671" w14:textId="0A0C18E6" w:rsidR="00F462D6" w:rsidRPr="00F462D6" w:rsidRDefault="00F462D6" w:rsidP="00F462D6">
      <w:pPr>
        <w:rPr>
          <w:lang w:val="en-US"/>
        </w:rPr>
      </w:pPr>
      <w:r w:rsidRPr="00F462D6">
        <w:rPr>
          <w:lang w:val="en-US"/>
        </w:rPr>
        <w:t xml:space="preserve">The EESS (passive) interference </w:t>
      </w:r>
      <w:r w:rsidR="00A67E6C">
        <w:rPr>
          <w:lang w:val="en-US"/>
        </w:rPr>
        <w:t xml:space="preserve">protection </w:t>
      </w:r>
      <w:r w:rsidRPr="00F462D6">
        <w:rPr>
          <w:lang w:val="en-US"/>
        </w:rPr>
        <w:t xml:space="preserve">criterion </w:t>
      </w:r>
      <w:r w:rsidR="00A67E6C">
        <w:rPr>
          <w:lang w:val="en-US"/>
        </w:rPr>
        <w:t>for</w:t>
      </w:r>
      <w:r w:rsidR="00A67E6C" w:rsidRPr="00F462D6">
        <w:rPr>
          <w:lang w:val="en-US"/>
        </w:rPr>
        <w:t xml:space="preserve"> </w:t>
      </w:r>
      <w:r w:rsidRPr="00F462D6">
        <w:rPr>
          <w:lang w:val="en-US"/>
        </w:rPr>
        <w:t>the 1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400-1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427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 xml:space="preserve">MHz frequency band is given in  Table 2 of Recommendation </w:t>
      </w:r>
      <w:hyperlink r:id="rId15" w:history="1">
        <w:r w:rsidRPr="00F462D6">
          <w:rPr>
            <w:rStyle w:val="Hyperlink"/>
            <w:lang w:val="en-US"/>
          </w:rPr>
          <w:t xml:space="preserve">ITU-R </w:t>
        </w:r>
        <w:r w:rsidRPr="00F462D6">
          <w:rPr>
            <w:rStyle w:val="Hyperlink"/>
            <w:rFonts w:cs="Arial"/>
            <w:szCs w:val="22"/>
            <w:lang w:val="en-US"/>
          </w:rPr>
          <w:t>RS.2017</w:t>
        </w:r>
      </w:hyperlink>
      <w:r w:rsidR="00DE675C">
        <w:rPr>
          <w:rStyle w:val="Hyperlink"/>
          <w:rFonts w:cs="Arial"/>
          <w:szCs w:val="22"/>
          <w:lang w:val="en-US"/>
        </w:rPr>
        <w:t>-0</w:t>
      </w:r>
      <w:r w:rsidR="00A67E6C">
        <w:rPr>
          <w:lang w:val="en-US"/>
        </w:rPr>
        <w:t xml:space="preserve"> with the threshold of</w:t>
      </w:r>
      <w:r w:rsidRPr="00F462D6">
        <w:rPr>
          <w:lang w:val="en-US"/>
        </w:rPr>
        <w:t xml:space="preserve"> –174</w:t>
      </w:r>
      <w:r w:rsidRPr="00F462D6">
        <w:rPr>
          <w:szCs w:val="24"/>
          <w:lang w:val="en-US"/>
        </w:rPr>
        <w:t> </w:t>
      </w:r>
      <w:proofErr w:type="spellStart"/>
      <w:r w:rsidRPr="00F462D6">
        <w:rPr>
          <w:lang w:val="en-US"/>
        </w:rPr>
        <w:t>dBW</w:t>
      </w:r>
      <w:proofErr w:type="spellEnd"/>
      <w:r w:rsidRPr="00F462D6">
        <w:rPr>
          <w:lang w:val="en-US"/>
        </w:rPr>
        <w:t>/27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MHz</w:t>
      </w:r>
      <w:r w:rsidR="00A67E6C">
        <w:rPr>
          <w:lang w:val="en-US"/>
        </w:rPr>
        <w:t xml:space="preserve"> to no</w:t>
      </w:r>
      <w:r w:rsidR="00F2077D">
        <w:rPr>
          <w:lang w:val="en-US"/>
        </w:rPr>
        <w:t>t</w:t>
      </w:r>
      <w:r w:rsidR="00A67E6C">
        <w:rPr>
          <w:lang w:val="en-US"/>
        </w:rPr>
        <w:t xml:space="preserve"> be exceeded more than</w:t>
      </w:r>
      <w:r w:rsidRPr="00F462D6">
        <w:rPr>
          <w:lang w:val="en-US"/>
        </w:rPr>
        <w:t xml:space="preserve"> 0.1% of time </w:t>
      </w:r>
      <w:r w:rsidR="00F2077D">
        <w:rPr>
          <w:lang w:val="en-US"/>
        </w:rPr>
        <w:t>in</w:t>
      </w:r>
      <w:r w:rsidRPr="00F462D6">
        <w:rPr>
          <w:lang w:val="en-US"/>
        </w:rPr>
        <w:t xml:space="preserve"> a measurement area of 10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000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000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km</w:t>
      </w:r>
      <w:r w:rsidRPr="00F462D6">
        <w:rPr>
          <w:vertAlign w:val="superscript"/>
          <w:lang w:val="en-US"/>
        </w:rPr>
        <w:t>2</w:t>
      </w:r>
      <w:r w:rsidRPr="00F462D6">
        <w:rPr>
          <w:lang w:val="en-US"/>
        </w:rPr>
        <w:t>.</w:t>
      </w:r>
    </w:p>
    <w:p w14:paraId="38966AAD" w14:textId="77777777" w:rsidR="00F462D6" w:rsidRPr="00F462D6" w:rsidRDefault="00F462D6" w:rsidP="00F462D6">
      <w:pPr>
        <w:rPr>
          <w:lang w:val="en-US"/>
        </w:rPr>
      </w:pPr>
    </w:p>
    <w:p w14:paraId="7D874F94" w14:textId="77777777" w:rsidR="00F462D6" w:rsidRPr="00F462D6" w:rsidRDefault="00F462D6" w:rsidP="00F462D6">
      <w:pPr>
        <w:rPr>
          <w:b/>
          <w:bCs/>
          <w:lang w:val="en-US" w:eastAsia="zh-CN"/>
        </w:rPr>
      </w:pPr>
      <w:r w:rsidRPr="00F462D6">
        <w:rPr>
          <w:b/>
          <w:bCs/>
          <w:lang w:val="en-US" w:eastAsia="zh-CN"/>
        </w:rPr>
        <w:t>System Parameters</w:t>
      </w:r>
    </w:p>
    <w:p w14:paraId="4B04CDB6" w14:textId="516417A3" w:rsidR="00F462D6" w:rsidRPr="00F462D6" w:rsidRDefault="00F462D6" w:rsidP="00F462D6">
      <w:pPr>
        <w:rPr>
          <w:rStyle w:val="Hyperlink"/>
          <w:lang w:val="en-US"/>
        </w:rPr>
      </w:pPr>
      <w:r w:rsidRPr="00F462D6">
        <w:rPr>
          <w:lang w:val="en-US"/>
        </w:rPr>
        <w:t xml:space="preserve">Recommendation </w:t>
      </w:r>
      <w:hyperlink r:id="rId16" w:history="1">
        <w:r w:rsidRPr="00F462D6">
          <w:rPr>
            <w:rStyle w:val="Hyperlink"/>
            <w:lang w:val="en-US"/>
          </w:rPr>
          <w:t>ITU-R RS.1861</w:t>
        </w:r>
      </w:hyperlink>
      <w:r w:rsidR="00554B11">
        <w:rPr>
          <w:rStyle w:val="Hyperlink"/>
          <w:lang w:val="en-US"/>
        </w:rPr>
        <w:t>-1</w:t>
      </w:r>
      <w:r w:rsidRPr="00F462D6">
        <w:rPr>
          <w:lang w:val="en-US"/>
        </w:rPr>
        <w:t xml:space="preserve"> provides technical and operational parameters of EESS passive systems including descriptions of sensor scanning configurations. Table </w:t>
      </w:r>
      <w:r w:rsidR="00846881">
        <w:rPr>
          <w:lang w:val="en-US"/>
        </w:rPr>
        <w:t>1</w:t>
      </w:r>
      <w:r w:rsidRPr="00F462D6">
        <w:rPr>
          <w:lang w:val="en-US"/>
        </w:rPr>
        <w:t xml:space="preserve"> is taken from this Recommendation and represents typical system parameters for the 1 400-1 427 MHz frequency band. Additionally, Recommendation</w:t>
      </w:r>
      <w:r w:rsidR="00A67E6C">
        <w:rPr>
          <w:lang w:val="en-US"/>
        </w:rPr>
        <w:t xml:space="preserve"> ITU-R</w:t>
      </w:r>
      <w:r w:rsidRPr="00F462D6">
        <w:rPr>
          <w:lang w:val="en-US"/>
        </w:rPr>
        <w:t xml:space="preserve"> RS.1861 includes antenna patterns for sensor types A1 and A2 which can be identified in figure 1 and figure 2 respectively.  For Sensor type A4, sensor patterns </w:t>
      </w:r>
      <w:proofErr w:type="gramStart"/>
      <w:r w:rsidR="00A67E6C">
        <w:rPr>
          <w:lang w:val="en-US"/>
        </w:rPr>
        <w:t>is</w:t>
      </w:r>
      <w:proofErr w:type="gramEnd"/>
      <w:r w:rsidRPr="00F462D6">
        <w:rPr>
          <w:lang w:val="en-US"/>
        </w:rPr>
        <w:t xml:space="preserve"> modeled using Recommendation </w:t>
      </w:r>
      <w:hyperlink r:id="rId17" w:history="1">
        <w:r w:rsidRPr="00F462D6">
          <w:rPr>
            <w:rStyle w:val="Hyperlink"/>
            <w:lang w:val="en-US"/>
          </w:rPr>
          <w:t>ITU-R  RS.1813</w:t>
        </w:r>
      </w:hyperlink>
      <w:r w:rsidR="00E25621">
        <w:rPr>
          <w:rStyle w:val="Hyperlink"/>
          <w:lang w:val="en-US"/>
        </w:rPr>
        <w:t>-2</w:t>
      </w:r>
      <w:r w:rsidRPr="009D0047">
        <w:t>.</w:t>
      </w:r>
      <w:r w:rsidR="000F7484" w:rsidRPr="000F7484">
        <w:t xml:space="preserve"> </w:t>
      </w:r>
      <w:r w:rsidR="00837E09" w:rsidRPr="00837E09">
        <w:rPr>
          <w:highlight w:val="yellow"/>
        </w:rPr>
        <w:t>[</w:t>
      </w:r>
      <w:r w:rsidR="000F7484">
        <w:t xml:space="preserve">Sensor A4 additionally relies on a calibration process performed while the antenna’s </w:t>
      </w:r>
      <w:proofErr w:type="spellStart"/>
      <w:r w:rsidR="000F7484">
        <w:t>mainbeam</w:t>
      </w:r>
      <w:proofErr w:type="spellEnd"/>
      <w:r w:rsidR="000F7484">
        <w:t xml:space="preserve"> is focused away from the Earth’s surface.  During this time, the system performs a measurement of the cosmic background to obtain a “cold calibration”. Table 1 includes the dynamics of the sensor during this cold calibration process.</w:t>
      </w:r>
      <w:r w:rsidR="00837E09" w:rsidRPr="00837E09">
        <w:rPr>
          <w:highlight w:val="yellow"/>
        </w:rPr>
        <w:t>]</w:t>
      </w:r>
    </w:p>
    <w:p w14:paraId="12549D28" w14:textId="427083BE" w:rsidR="00F462D6" w:rsidRPr="00F462D6" w:rsidRDefault="00F462D6" w:rsidP="00F462D6">
      <w:pPr>
        <w:pStyle w:val="TableNo"/>
        <w:rPr>
          <w:lang w:val="en-US"/>
        </w:rPr>
      </w:pPr>
      <w:bookmarkStart w:id="8" w:name="_Ref206385596"/>
      <w:r w:rsidRPr="00F462D6">
        <w:rPr>
          <w:lang w:val="en-US"/>
        </w:rPr>
        <w:t xml:space="preserve">TABLE </w:t>
      </w:r>
      <w:bookmarkEnd w:id="8"/>
      <w:r w:rsidR="00846881">
        <w:rPr>
          <w:lang w:val="en-US"/>
        </w:rPr>
        <w:t>1</w:t>
      </w:r>
    </w:p>
    <w:p w14:paraId="531DB96F" w14:textId="77777777" w:rsidR="00F462D6" w:rsidRPr="00F462D6" w:rsidRDefault="00F462D6" w:rsidP="00F462D6">
      <w:pPr>
        <w:pStyle w:val="Tabletitle"/>
        <w:rPr>
          <w:lang w:val="en-US"/>
        </w:rPr>
      </w:pPr>
      <w:r w:rsidRPr="00F462D6">
        <w:rPr>
          <w:lang w:val="en-US"/>
        </w:rPr>
        <w:t>EESS (passive) sensor characteristics in the 1 400-1 427 MHz frequency band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985"/>
        <w:gridCol w:w="1839"/>
        <w:gridCol w:w="1982"/>
      </w:tblGrid>
      <w:tr w:rsidR="00F462D6" w:rsidRPr="00F462D6" w14:paraId="523010D2" w14:textId="77777777" w:rsidTr="00394816">
        <w:trPr>
          <w:cantSplit/>
          <w:tblHeader/>
          <w:jc w:val="center"/>
        </w:trPr>
        <w:tc>
          <w:tcPr>
            <w:tcW w:w="1985" w:type="pct"/>
            <w:vAlign w:val="center"/>
          </w:tcPr>
          <w:p w14:paraId="365FB01D" w14:textId="77777777" w:rsidR="00F462D6" w:rsidRPr="00F462D6" w:rsidRDefault="00F462D6" w:rsidP="00394816">
            <w:pPr>
              <w:pStyle w:val="Tablehead"/>
              <w:rPr>
                <w:lang w:val="en-US"/>
              </w:rPr>
            </w:pPr>
          </w:p>
        </w:tc>
        <w:tc>
          <w:tcPr>
            <w:tcW w:w="1031" w:type="pct"/>
            <w:vAlign w:val="center"/>
          </w:tcPr>
          <w:p w14:paraId="0FF42BBE" w14:textId="77777777" w:rsidR="00F462D6" w:rsidRPr="00F462D6" w:rsidRDefault="00F462D6" w:rsidP="00394816">
            <w:pPr>
              <w:pStyle w:val="Tablehead"/>
              <w:rPr>
                <w:lang w:val="en-US"/>
              </w:rPr>
            </w:pPr>
            <w:r w:rsidRPr="00F462D6">
              <w:rPr>
                <w:lang w:val="en-US"/>
              </w:rPr>
              <w:t>Sensor A1</w:t>
            </w:r>
          </w:p>
        </w:tc>
        <w:tc>
          <w:tcPr>
            <w:tcW w:w="955" w:type="pct"/>
            <w:vAlign w:val="center"/>
          </w:tcPr>
          <w:p w14:paraId="253EDE62" w14:textId="77777777" w:rsidR="00F462D6" w:rsidRPr="00F462D6" w:rsidRDefault="00F462D6" w:rsidP="00394816">
            <w:pPr>
              <w:pStyle w:val="Tablehead"/>
              <w:rPr>
                <w:lang w:val="en-US"/>
              </w:rPr>
            </w:pPr>
            <w:r w:rsidRPr="00F462D6">
              <w:rPr>
                <w:lang w:val="en-US"/>
              </w:rPr>
              <w:t>Sensor A2</w:t>
            </w:r>
          </w:p>
        </w:tc>
        <w:tc>
          <w:tcPr>
            <w:tcW w:w="1029" w:type="pct"/>
            <w:vAlign w:val="center"/>
          </w:tcPr>
          <w:p w14:paraId="77E61E94" w14:textId="77777777" w:rsidR="00F462D6" w:rsidRPr="00F462D6" w:rsidRDefault="00F462D6" w:rsidP="00394816">
            <w:pPr>
              <w:pStyle w:val="Tablehead"/>
              <w:rPr>
                <w:lang w:val="en-US"/>
              </w:rPr>
            </w:pPr>
            <w:r w:rsidRPr="00F462D6">
              <w:rPr>
                <w:lang w:val="en-US"/>
              </w:rPr>
              <w:t>Sensor A4</w:t>
            </w:r>
          </w:p>
        </w:tc>
      </w:tr>
      <w:tr w:rsidR="00F462D6" w:rsidRPr="00F462D6" w14:paraId="72F285F9" w14:textId="77777777" w:rsidTr="00394816">
        <w:trPr>
          <w:cantSplit/>
          <w:jc w:val="center"/>
        </w:trPr>
        <w:tc>
          <w:tcPr>
            <w:tcW w:w="1985" w:type="pct"/>
          </w:tcPr>
          <w:p w14:paraId="19022846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Sensor type</w:t>
            </w:r>
          </w:p>
        </w:tc>
        <w:tc>
          <w:tcPr>
            <w:tcW w:w="1031" w:type="pct"/>
            <w:vAlign w:val="center"/>
          </w:tcPr>
          <w:p w14:paraId="02CFD30F" w14:textId="77777777" w:rsidR="00F462D6" w:rsidRPr="00F462D6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Interferometric radiometer</w:t>
            </w:r>
          </w:p>
        </w:tc>
        <w:tc>
          <w:tcPr>
            <w:tcW w:w="955" w:type="pct"/>
            <w:vAlign w:val="center"/>
          </w:tcPr>
          <w:p w14:paraId="79E0A0D1" w14:textId="77777777" w:rsidR="00F462D6" w:rsidRPr="00F462D6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Conical scan</w:t>
            </w:r>
          </w:p>
        </w:tc>
        <w:tc>
          <w:tcPr>
            <w:tcW w:w="1029" w:type="pct"/>
            <w:vAlign w:val="center"/>
          </w:tcPr>
          <w:p w14:paraId="39865EE0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Conical scan</w:t>
            </w:r>
          </w:p>
        </w:tc>
      </w:tr>
      <w:tr w:rsidR="00F462D6" w:rsidRPr="00F462D6" w14:paraId="79452074" w14:textId="77777777" w:rsidTr="00394816">
        <w:trPr>
          <w:cantSplit/>
          <w:jc w:val="center"/>
        </w:trPr>
        <w:tc>
          <w:tcPr>
            <w:tcW w:w="5000" w:type="pct"/>
            <w:gridSpan w:val="4"/>
          </w:tcPr>
          <w:p w14:paraId="5D0A900D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b/>
                <w:bCs/>
                <w:lang w:val="en-US"/>
              </w:rPr>
              <w:t>Orbit parameters</w:t>
            </w:r>
          </w:p>
        </w:tc>
      </w:tr>
      <w:tr w:rsidR="00F462D6" w:rsidRPr="00F462D6" w14:paraId="06D5C7C1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6BFB0B42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Altitude (km)</w:t>
            </w:r>
          </w:p>
        </w:tc>
        <w:tc>
          <w:tcPr>
            <w:tcW w:w="1031" w:type="pct"/>
            <w:vAlign w:val="center"/>
          </w:tcPr>
          <w:p w14:paraId="18EBCC67" w14:textId="77777777" w:rsidR="00F462D6" w:rsidRPr="00F462D6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757</w:t>
            </w:r>
          </w:p>
        </w:tc>
        <w:tc>
          <w:tcPr>
            <w:tcW w:w="955" w:type="pct"/>
            <w:vAlign w:val="center"/>
          </w:tcPr>
          <w:p w14:paraId="290D54C6" w14:textId="77777777" w:rsidR="00F462D6" w:rsidRPr="00F462D6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670</w:t>
            </w:r>
          </w:p>
        </w:tc>
        <w:tc>
          <w:tcPr>
            <w:tcW w:w="1029" w:type="pct"/>
            <w:vAlign w:val="center"/>
          </w:tcPr>
          <w:p w14:paraId="7F7A0319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820</w:t>
            </w:r>
          </w:p>
        </w:tc>
      </w:tr>
      <w:tr w:rsidR="00F462D6" w:rsidRPr="00F462D6" w14:paraId="1271161C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525CD95B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Inclination (degree)</w:t>
            </w:r>
          </w:p>
        </w:tc>
        <w:tc>
          <w:tcPr>
            <w:tcW w:w="1031" w:type="pct"/>
            <w:vAlign w:val="center"/>
          </w:tcPr>
          <w:p w14:paraId="4F0B524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98</w:t>
            </w:r>
          </w:p>
        </w:tc>
        <w:tc>
          <w:tcPr>
            <w:tcW w:w="955" w:type="pct"/>
            <w:vAlign w:val="center"/>
          </w:tcPr>
          <w:p w14:paraId="0060159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98</w:t>
            </w:r>
          </w:p>
        </w:tc>
        <w:tc>
          <w:tcPr>
            <w:tcW w:w="1029" w:type="pct"/>
            <w:vAlign w:val="center"/>
          </w:tcPr>
          <w:p w14:paraId="0128B9EB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98.702</w:t>
            </w:r>
          </w:p>
        </w:tc>
      </w:tr>
      <w:tr w:rsidR="00F462D6" w:rsidRPr="00F462D6" w14:paraId="377A83B7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1769F8B1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Eccentricity</w:t>
            </w:r>
          </w:p>
        </w:tc>
        <w:tc>
          <w:tcPr>
            <w:tcW w:w="1031" w:type="pct"/>
            <w:vAlign w:val="center"/>
          </w:tcPr>
          <w:p w14:paraId="57766628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0</w:t>
            </w:r>
          </w:p>
        </w:tc>
        <w:tc>
          <w:tcPr>
            <w:tcW w:w="955" w:type="pct"/>
            <w:vAlign w:val="center"/>
          </w:tcPr>
          <w:p w14:paraId="7439EDC9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0</w:t>
            </w:r>
          </w:p>
        </w:tc>
        <w:tc>
          <w:tcPr>
            <w:tcW w:w="1029" w:type="pct"/>
            <w:vAlign w:val="center"/>
          </w:tcPr>
          <w:p w14:paraId="6D642F61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0.0011441</w:t>
            </w:r>
          </w:p>
        </w:tc>
      </w:tr>
      <w:tr w:rsidR="00F462D6" w:rsidRPr="00F462D6" w14:paraId="7D5E5DDC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721BD779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Repeat period (days)</w:t>
            </w:r>
          </w:p>
        </w:tc>
        <w:tc>
          <w:tcPr>
            <w:tcW w:w="1031" w:type="pct"/>
            <w:vAlign w:val="center"/>
          </w:tcPr>
          <w:p w14:paraId="31262E8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</w:t>
            </w:r>
          </w:p>
        </w:tc>
        <w:tc>
          <w:tcPr>
            <w:tcW w:w="955" w:type="pct"/>
            <w:vAlign w:val="center"/>
          </w:tcPr>
          <w:p w14:paraId="20D498CA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</w:t>
            </w:r>
          </w:p>
        </w:tc>
        <w:tc>
          <w:tcPr>
            <w:tcW w:w="1029" w:type="pct"/>
            <w:vAlign w:val="center"/>
          </w:tcPr>
          <w:p w14:paraId="16F62E64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29</w:t>
            </w:r>
          </w:p>
        </w:tc>
      </w:tr>
      <w:tr w:rsidR="00F462D6" w:rsidRPr="00F462D6" w14:paraId="47A5B935" w14:textId="77777777" w:rsidTr="00394816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2843AF38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b/>
                <w:bCs/>
                <w:lang w:val="en-US"/>
              </w:rPr>
              <w:t>Sensor antenna parameters</w:t>
            </w:r>
          </w:p>
        </w:tc>
      </w:tr>
      <w:tr w:rsidR="00F462D6" w:rsidRPr="00F462D6" w14:paraId="149B7F75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3BBEF322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Number of beams</w:t>
            </w:r>
          </w:p>
        </w:tc>
        <w:tc>
          <w:tcPr>
            <w:tcW w:w="1031" w:type="pct"/>
            <w:vAlign w:val="center"/>
          </w:tcPr>
          <w:p w14:paraId="278220C4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1</w:t>
            </w:r>
          </w:p>
        </w:tc>
        <w:tc>
          <w:tcPr>
            <w:tcW w:w="955" w:type="pct"/>
            <w:vAlign w:val="center"/>
          </w:tcPr>
          <w:p w14:paraId="462FC8A2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1</w:t>
            </w:r>
          </w:p>
        </w:tc>
        <w:tc>
          <w:tcPr>
            <w:tcW w:w="1029" w:type="pct"/>
            <w:vAlign w:val="center"/>
          </w:tcPr>
          <w:p w14:paraId="3230C8FE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1</w:t>
            </w:r>
          </w:p>
        </w:tc>
      </w:tr>
      <w:tr w:rsidR="00F462D6" w:rsidRPr="00F462D6" w14:paraId="71EE7225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2C757469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Antenna size</w:t>
            </w:r>
          </w:p>
        </w:tc>
        <w:tc>
          <w:tcPr>
            <w:tcW w:w="1031" w:type="pct"/>
            <w:vAlign w:val="center"/>
          </w:tcPr>
          <w:p w14:paraId="30FFAFDF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5C0ABBA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6.2 m</w:t>
            </w:r>
          </w:p>
        </w:tc>
        <w:tc>
          <w:tcPr>
            <w:tcW w:w="1029" w:type="pct"/>
            <w:vAlign w:val="center"/>
          </w:tcPr>
          <w:p w14:paraId="22CEC87F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7.4 m</w:t>
            </w:r>
          </w:p>
        </w:tc>
      </w:tr>
      <w:tr w:rsidR="00F462D6" w:rsidRPr="00F462D6" w14:paraId="576A2D33" w14:textId="77777777" w:rsidTr="00394816">
        <w:trPr>
          <w:cantSplit/>
          <w:jc w:val="center"/>
        </w:trPr>
        <w:tc>
          <w:tcPr>
            <w:tcW w:w="1985" w:type="pct"/>
          </w:tcPr>
          <w:p w14:paraId="639DF69E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Maximum beam gain (</w:t>
            </w:r>
            <w:proofErr w:type="spellStart"/>
            <w:r w:rsidRPr="00F462D6">
              <w:rPr>
                <w:lang w:val="en-US"/>
              </w:rPr>
              <w:t>dBi</w:t>
            </w:r>
            <w:proofErr w:type="spellEnd"/>
            <w:r w:rsidRPr="00F462D6">
              <w:rPr>
                <w:lang w:val="en-US"/>
              </w:rPr>
              <w:t>)</w:t>
            </w:r>
          </w:p>
        </w:tc>
        <w:tc>
          <w:tcPr>
            <w:tcW w:w="1031" w:type="pct"/>
            <w:vAlign w:val="center"/>
          </w:tcPr>
          <w:p w14:paraId="3E0AEAEF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9</w:t>
            </w:r>
          </w:p>
        </w:tc>
        <w:tc>
          <w:tcPr>
            <w:tcW w:w="955" w:type="pct"/>
            <w:vAlign w:val="center"/>
          </w:tcPr>
          <w:p w14:paraId="43E39D01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37</w:t>
            </w:r>
          </w:p>
        </w:tc>
        <w:tc>
          <w:tcPr>
            <w:tcW w:w="1029" w:type="pct"/>
            <w:vAlign w:val="center"/>
          </w:tcPr>
          <w:p w14:paraId="0E0B027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39.1</w:t>
            </w:r>
          </w:p>
        </w:tc>
      </w:tr>
      <w:tr w:rsidR="00F462D6" w:rsidRPr="00F462D6" w14:paraId="7519A06B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1F54F08B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Polarization</w:t>
            </w:r>
          </w:p>
        </w:tc>
        <w:tc>
          <w:tcPr>
            <w:tcW w:w="1031" w:type="pct"/>
            <w:vAlign w:val="center"/>
          </w:tcPr>
          <w:p w14:paraId="189CD75F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V, H</w:t>
            </w:r>
          </w:p>
        </w:tc>
        <w:tc>
          <w:tcPr>
            <w:tcW w:w="955" w:type="pct"/>
            <w:vAlign w:val="center"/>
          </w:tcPr>
          <w:p w14:paraId="53FF06F1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V, H</w:t>
            </w:r>
          </w:p>
        </w:tc>
        <w:tc>
          <w:tcPr>
            <w:tcW w:w="1029" w:type="pct"/>
            <w:vAlign w:val="center"/>
          </w:tcPr>
          <w:p w14:paraId="79BA2490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V, H</w:t>
            </w:r>
          </w:p>
        </w:tc>
      </w:tr>
      <w:tr w:rsidR="00F462D6" w:rsidRPr="00F462D6" w14:paraId="18A54A3E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732C2FAA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−3 dB beamwidth (degree)</w:t>
            </w:r>
          </w:p>
        </w:tc>
        <w:tc>
          <w:tcPr>
            <w:tcW w:w="1031" w:type="pct"/>
            <w:vAlign w:val="center"/>
          </w:tcPr>
          <w:p w14:paraId="012D844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71.6</w:t>
            </w:r>
          </w:p>
        </w:tc>
        <w:tc>
          <w:tcPr>
            <w:tcW w:w="955" w:type="pct"/>
            <w:vAlign w:val="center"/>
          </w:tcPr>
          <w:p w14:paraId="4A381A1E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2.6</w:t>
            </w:r>
          </w:p>
        </w:tc>
        <w:tc>
          <w:tcPr>
            <w:tcW w:w="1029" w:type="pct"/>
            <w:vAlign w:val="center"/>
          </w:tcPr>
          <w:p w14:paraId="654EBC93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1.89-2.20</w:t>
            </w:r>
          </w:p>
        </w:tc>
      </w:tr>
      <w:tr w:rsidR="00F462D6" w:rsidRPr="00F462D6" w14:paraId="6C3B8431" w14:textId="77777777" w:rsidTr="00394816">
        <w:trPr>
          <w:cantSplit/>
          <w:jc w:val="center"/>
        </w:trPr>
        <w:tc>
          <w:tcPr>
            <w:tcW w:w="1985" w:type="pct"/>
          </w:tcPr>
          <w:p w14:paraId="181DE326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Instantaneous field of view</w:t>
            </w:r>
          </w:p>
        </w:tc>
        <w:tc>
          <w:tcPr>
            <w:tcW w:w="1031" w:type="pct"/>
            <w:vAlign w:val="center"/>
          </w:tcPr>
          <w:p w14:paraId="4D9FEC3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756 km</w:t>
            </w:r>
            <w:r w:rsidRPr="00F462D6">
              <w:rPr>
                <w:vertAlign w:val="superscript"/>
                <w:lang w:val="en-US"/>
              </w:rPr>
              <w:t>2</w:t>
            </w:r>
          </w:p>
        </w:tc>
        <w:tc>
          <w:tcPr>
            <w:tcW w:w="955" w:type="pct"/>
            <w:vAlign w:val="center"/>
          </w:tcPr>
          <w:p w14:paraId="0B36CC49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50.1 × 38.5 km</w:t>
            </w:r>
          </w:p>
        </w:tc>
        <w:tc>
          <w:tcPr>
            <w:tcW w:w="1029" w:type="pct"/>
            <w:vAlign w:val="center"/>
          </w:tcPr>
          <w:p w14:paraId="5047C41E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77 × 43 km</w:t>
            </w:r>
          </w:p>
        </w:tc>
      </w:tr>
      <w:tr w:rsidR="00F462D6" w:rsidRPr="00F462D6" w14:paraId="33C440A5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424B4F13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Off-nadir pointing angle (degree)</w:t>
            </w:r>
          </w:p>
        </w:tc>
        <w:tc>
          <w:tcPr>
            <w:tcW w:w="1031" w:type="pct"/>
            <w:vAlign w:val="center"/>
          </w:tcPr>
          <w:p w14:paraId="5E256EBB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25</w:t>
            </w:r>
          </w:p>
        </w:tc>
        <w:tc>
          <w:tcPr>
            <w:tcW w:w="955" w:type="pct"/>
            <w:vAlign w:val="center"/>
          </w:tcPr>
          <w:p w14:paraId="5D15EC2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35.5</w:t>
            </w:r>
          </w:p>
        </w:tc>
        <w:tc>
          <w:tcPr>
            <w:tcW w:w="1029" w:type="pct"/>
            <w:vAlign w:val="center"/>
          </w:tcPr>
          <w:p w14:paraId="2D1257EF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46.5</w:t>
            </w:r>
          </w:p>
        </w:tc>
      </w:tr>
      <w:tr w:rsidR="00F462D6" w:rsidRPr="00F462D6" w14:paraId="7E01C8A7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0AF0C519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Incidence angle at Earth (degree)</w:t>
            </w:r>
          </w:p>
        </w:tc>
        <w:tc>
          <w:tcPr>
            <w:tcW w:w="1031" w:type="pct"/>
            <w:vAlign w:val="center"/>
          </w:tcPr>
          <w:p w14:paraId="51C60AA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2°/48</w:t>
            </w:r>
          </w:p>
        </w:tc>
        <w:tc>
          <w:tcPr>
            <w:tcW w:w="955" w:type="pct"/>
            <w:vAlign w:val="center"/>
          </w:tcPr>
          <w:p w14:paraId="35946A5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39.9</w:t>
            </w:r>
          </w:p>
        </w:tc>
        <w:tc>
          <w:tcPr>
            <w:tcW w:w="1029" w:type="pct"/>
            <w:vAlign w:val="center"/>
          </w:tcPr>
          <w:p w14:paraId="19C036C4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55</w:t>
            </w:r>
          </w:p>
        </w:tc>
      </w:tr>
      <w:tr w:rsidR="00F462D6" w:rsidRPr="00F462D6" w:rsidDel="00FC0322" w14:paraId="0D5C9090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257BAB80" w14:textId="77777777" w:rsidR="00F462D6" w:rsidRPr="00F462D6" w:rsidDel="00FC0322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Swath width (km)</w:t>
            </w:r>
          </w:p>
        </w:tc>
        <w:tc>
          <w:tcPr>
            <w:tcW w:w="1031" w:type="pct"/>
            <w:vAlign w:val="center"/>
          </w:tcPr>
          <w:p w14:paraId="146F18A8" w14:textId="77777777" w:rsidR="00F462D6" w:rsidRPr="00F462D6" w:rsidDel="00FC0322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1 000</w:t>
            </w:r>
          </w:p>
        </w:tc>
        <w:tc>
          <w:tcPr>
            <w:tcW w:w="955" w:type="pct"/>
            <w:vAlign w:val="center"/>
          </w:tcPr>
          <w:p w14:paraId="05119FA1" w14:textId="77777777" w:rsidR="00F462D6" w:rsidRPr="00F462D6" w:rsidDel="00FC0322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1 000</w:t>
            </w:r>
          </w:p>
        </w:tc>
        <w:tc>
          <w:tcPr>
            <w:tcW w:w="1029" w:type="pct"/>
            <w:vAlign w:val="center"/>
          </w:tcPr>
          <w:p w14:paraId="1025989E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&gt;1 900</w:t>
            </w:r>
          </w:p>
        </w:tc>
      </w:tr>
      <w:tr w:rsidR="00F462D6" w:rsidRPr="00F462D6" w14:paraId="2042F9C5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33228967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Antenna efficiency</w:t>
            </w:r>
          </w:p>
        </w:tc>
        <w:tc>
          <w:tcPr>
            <w:tcW w:w="1031" w:type="pct"/>
            <w:vAlign w:val="center"/>
          </w:tcPr>
          <w:p w14:paraId="4EFE0AE2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02F47179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0.60</w:t>
            </w:r>
          </w:p>
        </w:tc>
        <w:tc>
          <w:tcPr>
            <w:tcW w:w="1029" w:type="pct"/>
            <w:vAlign w:val="center"/>
          </w:tcPr>
          <w:p w14:paraId="76B1DB9C" w14:textId="77777777" w:rsidR="00F462D6" w:rsidRPr="00F462D6" w:rsidRDefault="00F462D6" w:rsidP="00394816">
            <w:pPr>
              <w:pStyle w:val="Tabletext"/>
              <w:jc w:val="center"/>
              <w:rPr>
                <w:highlight w:val="green"/>
                <w:lang w:val="en-US"/>
              </w:rPr>
            </w:pPr>
          </w:p>
        </w:tc>
      </w:tr>
      <w:tr w:rsidR="00F462D6" w:rsidRPr="00F462D6" w14:paraId="15594D50" w14:textId="77777777" w:rsidTr="00394816">
        <w:trPr>
          <w:cantSplit/>
          <w:jc w:val="center"/>
        </w:trPr>
        <w:tc>
          <w:tcPr>
            <w:tcW w:w="1985" w:type="pct"/>
          </w:tcPr>
          <w:p w14:paraId="4474BBFB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lastRenderedPageBreak/>
              <w:t>Beam dynamics</w:t>
            </w:r>
          </w:p>
        </w:tc>
        <w:tc>
          <w:tcPr>
            <w:tcW w:w="1031" w:type="pct"/>
            <w:vAlign w:val="center"/>
          </w:tcPr>
          <w:p w14:paraId="4D5C559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Fixed</w:t>
            </w:r>
          </w:p>
        </w:tc>
        <w:tc>
          <w:tcPr>
            <w:tcW w:w="955" w:type="pct"/>
            <w:vAlign w:val="center"/>
          </w:tcPr>
          <w:p w14:paraId="6A4D422C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14.6 rpm</w:t>
            </w:r>
          </w:p>
        </w:tc>
        <w:tc>
          <w:tcPr>
            <w:tcW w:w="1029" w:type="pct"/>
            <w:vAlign w:val="center"/>
          </w:tcPr>
          <w:p w14:paraId="30F07F88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7.8 rpm</w:t>
            </w:r>
          </w:p>
        </w:tc>
      </w:tr>
      <w:tr w:rsidR="00F462D6" w:rsidRPr="00F462D6" w14:paraId="65D96879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1DF7C5CA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Sensor antenna pattern</w:t>
            </w:r>
          </w:p>
        </w:tc>
        <w:tc>
          <w:tcPr>
            <w:tcW w:w="1031" w:type="pct"/>
            <w:vAlign w:val="center"/>
          </w:tcPr>
          <w:p w14:paraId="456B940C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Fig. 9</w:t>
            </w:r>
          </w:p>
        </w:tc>
        <w:tc>
          <w:tcPr>
            <w:tcW w:w="955" w:type="pct"/>
            <w:vAlign w:val="center"/>
          </w:tcPr>
          <w:p w14:paraId="4B1B7D01" w14:textId="77777777" w:rsidR="00F462D6" w:rsidRPr="00A1383E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A1383E">
              <w:rPr>
                <w:lang w:val="en-US"/>
              </w:rPr>
              <w:t>Fig. 10</w:t>
            </w:r>
          </w:p>
        </w:tc>
        <w:tc>
          <w:tcPr>
            <w:tcW w:w="1029" w:type="pct"/>
            <w:vAlign w:val="center"/>
          </w:tcPr>
          <w:p w14:paraId="789777BC" w14:textId="2D37D47A" w:rsidR="00F462D6" w:rsidRPr="00A1383E" w:rsidRDefault="006404B1" w:rsidP="00394816">
            <w:pPr>
              <w:pStyle w:val="Tabletext"/>
              <w:jc w:val="center"/>
              <w:rPr>
                <w:lang w:val="en-US"/>
              </w:rPr>
            </w:pPr>
            <w:r w:rsidRPr="00A1383E">
              <w:rPr>
                <w:lang w:val="en-US"/>
              </w:rPr>
              <w:t>ITU-R RS.1813</w:t>
            </w:r>
          </w:p>
        </w:tc>
      </w:tr>
      <w:tr w:rsidR="00F462D6" w:rsidRPr="00F462D6" w14:paraId="55D42C4A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6089C97D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Cold calibration antenna gain (</w:t>
            </w:r>
            <w:proofErr w:type="spellStart"/>
            <w:r w:rsidRPr="00F462D6">
              <w:rPr>
                <w:lang w:val="en-US"/>
              </w:rPr>
              <w:t>dBi</w:t>
            </w:r>
            <w:proofErr w:type="spellEnd"/>
            <w:r w:rsidRPr="00F462D6">
              <w:rPr>
                <w:lang w:val="en-US"/>
              </w:rPr>
              <w:t>)</w:t>
            </w:r>
          </w:p>
        </w:tc>
        <w:tc>
          <w:tcPr>
            <w:tcW w:w="1031" w:type="pct"/>
            <w:vAlign w:val="center"/>
          </w:tcPr>
          <w:p w14:paraId="2103B0F4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25A853B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45A13DFF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39.1</w:t>
            </w:r>
          </w:p>
        </w:tc>
      </w:tr>
      <w:tr w:rsidR="00F462D6" w:rsidRPr="00F462D6" w14:paraId="71A8C36A" w14:textId="77777777" w:rsidTr="00394816">
        <w:trPr>
          <w:cantSplit/>
          <w:jc w:val="center"/>
        </w:trPr>
        <w:tc>
          <w:tcPr>
            <w:tcW w:w="1985" w:type="pct"/>
          </w:tcPr>
          <w:p w14:paraId="47B3E5C1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Cold calibration angle (degrees re. satellite track)</w:t>
            </w:r>
          </w:p>
        </w:tc>
        <w:tc>
          <w:tcPr>
            <w:tcW w:w="1031" w:type="pct"/>
            <w:vAlign w:val="center"/>
          </w:tcPr>
          <w:p w14:paraId="5B81F2E8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2350874C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6363405B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0</w:t>
            </w:r>
            <w:r w:rsidRPr="00F462D6">
              <w:rPr>
                <w:lang w:val="en-US" w:eastAsia="ja-JP"/>
              </w:rPr>
              <w:t xml:space="preserve"> º</w:t>
            </w:r>
          </w:p>
        </w:tc>
      </w:tr>
      <w:tr w:rsidR="00F462D6" w:rsidRPr="00F462D6" w14:paraId="57F334E3" w14:textId="77777777" w:rsidTr="00394816">
        <w:trPr>
          <w:cantSplit/>
          <w:jc w:val="center"/>
        </w:trPr>
        <w:tc>
          <w:tcPr>
            <w:tcW w:w="1985" w:type="pct"/>
          </w:tcPr>
          <w:p w14:paraId="725DA9F9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Cold calibration angle (degrees re. nadir direction)</w:t>
            </w:r>
          </w:p>
        </w:tc>
        <w:tc>
          <w:tcPr>
            <w:tcW w:w="1031" w:type="pct"/>
            <w:vAlign w:val="center"/>
          </w:tcPr>
          <w:p w14:paraId="0E4EA807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7A90BDA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1DC98B5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45</w:t>
            </w:r>
            <w:r w:rsidRPr="00F462D6">
              <w:rPr>
                <w:lang w:val="en-US" w:eastAsia="ja-JP"/>
              </w:rPr>
              <w:t>º</w:t>
            </w:r>
            <w:r w:rsidRPr="00F462D6">
              <w:rPr>
                <w:lang w:val="en-US"/>
              </w:rPr>
              <w:t>-180</w:t>
            </w:r>
            <w:r w:rsidRPr="00F462D6">
              <w:rPr>
                <w:lang w:val="en-US" w:eastAsia="ja-JP"/>
              </w:rPr>
              <w:t>º</w:t>
            </w:r>
          </w:p>
        </w:tc>
      </w:tr>
      <w:tr w:rsidR="00F462D6" w:rsidRPr="00F462D6" w14:paraId="596D84DB" w14:textId="77777777" w:rsidTr="00394816">
        <w:trPr>
          <w:cantSplit/>
          <w:jc w:val="center"/>
        </w:trPr>
        <w:tc>
          <w:tcPr>
            <w:tcW w:w="5000" w:type="pct"/>
            <w:gridSpan w:val="4"/>
          </w:tcPr>
          <w:p w14:paraId="2840CFB8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b/>
                <w:bCs/>
                <w:lang w:val="en-US"/>
              </w:rPr>
              <w:t>Sensor receiver parameters</w:t>
            </w:r>
          </w:p>
        </w:tc>
      </w:tr>
      <w:tr w:rsidR="00F462D6" w:rsidRPr="00F462D6" w14:paraId="620DBD95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598EBC8B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Sensor integration time</w:t>
            </w:r>
          </w:p>
        </w:tc>
        <w:tc>
          <w:tcPr>
            <w:tcW w:w="1031" w:type="pct"/>
            <w:vAlign w:val="center"/>
          </w:tcPr>
          <w:p w14:paraId="53E40B6B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1.2 s</w:t>
            </w:r>
          </w:p>
        </w:tc>
        <w:tc>
          <w:tcPr>
            <w:tcW w:w="955" w:type="pct"/>
            <w:vAlign w:val="center"/>
          </w:tcPr>
          <w:p w14:paraId="6E96E96D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 xml:space="preserve">84 </w:t>
            </w:r>
            <w:proofErr w:type="spellStart"/>
            <w:r w:rsidRPr="00F462D6">
              <w:rPr>
                <w:lang w:val="en-US"/>
              </w:rPr>
              <w:t>ms</w:t>
            </w:r>
            <w:proofErr w:type="spellEnd"/>
          </w:p>
        </w:tc>
        <w:tc>
          <w:tcPr>
            <w:tcW w:w="1029" w:type="pct"/>
            <w:vAlign w:val="center"/>
          </w:tcPr>
          <w:p w14:paraId="2E85E778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 xml:space="preserve">55.4 </w:t>
            </w:r>
            <w:proofErr w:type="spellStart"/>
            <w:r w:rsidRPr="00F462D6">
              <w:rPr>
                <w:lang w:val="en-US"/>
              </w:rPr>
              <w:t>ms</w:t>
            </w:r>
            <w:proofErr w:type="spellEnd"/>
          </w:p>
        </w:tc>
      </w:tr>
      <w:tr w:rsidR="00F462D6" w:rsidRPr="00F462D6" w14:paraId="78ACB152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442EF8E9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Channel bandwidth (MHz)</w:t>
            </w:r>
          </w:p>
        </w:tc>
        <w:tc>
          <w:tcPr>
            <w:tcW w:w="1031" w:type="pct"/>
            <w:vAlign w:val="center"/>
          </w:tcPr>
          <w:p w14:paraId="590FDF2E" w14:textId="77777777" w:rsidR="00F462D6" w:rsidRPr="00F462D6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27</w:t>
            </w:r>
          </w:p>
        </w:tc>
        <w:tc>
          <w:tcPr>
            <w:tcW w:w="955" w:type="pct"/>
            <w:vAlign w:val="center"/>
          </w:tcPr>
          <w:p w14:paraId="50F1CE10" w14:textId="77777777" w:rsidR="00F462D6" w:rsidRPr="00F462D6" w:rsidRDefault="00F462D6" w:rsidP="00394816">
            <w:pPr>
              <w:pStyle w:val="Tabletext"/>
              <w:jc w:val="center"/>
              <w:rPr>
                <w:lang w:val="en-US" w:eastAsia="zh-CN"/>
              </w:rPr>
            </w:pPr>
            <w:r w:rsidRPr="00F462D6">
              <w:rPr>
                <w:lang w:val="en-US"/>
              </w:rPr>
              <w:t>27</w:t>
            </w:r>
          </w:p>
        </w:tc>
        <w:tc>
          <w:tcPr>
            <w:tcW w:w="1029" w:type="pct"/>
            <w:vAlign w:val="center"/>
          </w:tcPr>
          <w:p w14:paraId="677B1A4C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27</w:t>
            </w:r>
          </w:p>
        </w:tc>
      </w:tr>
      <w:tr w:rsidR="00F462D6" w:rsidRPr="00F462D6" w14:paraId="7D9F8C81" w14:textId="77777777" w:rsidTr="00394816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141B7D38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b/>
                <w:bCs/>
                <w:lang w:val="en-US"/>
              </w:rPr>
              <w:t>Measurement spatial resolution</w:t>
            </w:r>
          </w:p>
        </w:tc>
      </w:tr>
      <w:tr w:rsidR="00F462D6" w:rsidRPr="00F462D6" w14:paraId="408C3F45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6CDE35C9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Horizontal resolution (km)</w:t>
            </w:r>
          </w:p>
        </w:tc>
        <w:tc>
          <w:tcPr>
            <w:tcW w:w="1031" w:type="pct"/>
            <w:vAlign w:val="center"/>
          </w:tcPr>
          <w:p w14:paraId="23C242DA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40</w:t>
            </w:r>
          </w:p>
        </w:tc>
        <w:tc>
          <w:tcPr>
            <w:tcW w:w="955" w:type="pct"/>
            <w:vAlign w:val="center"/>
          </w:tcPr>
          <w:p w14:paraId="6E8B6F26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39</w:t>
            </w:r>
          </w:p>
        </w:tc>
        <w:tc>
          <w:tcPr>
            <w:tcW w:w="1029" w:type="pct"/>
            <w:vAlign w:val="center"/>
          </w:tcPr>
          <w:p w14:paraId="7633E95B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77</w:t>
            </w:r>
          </w:p>
        </w:tc>
      </w:tr>
      <w:tr w:rsidR="00F462D6" w:rsidRPr="00F462D6" w14:paraId="5B8789A0" w14:textId="77777777" w:rsidTr="00394816">
        <w:trPr>
          <w:cantSplit/>
          <w:jc w:val="center"/>
        </w:trPr>
        <w:tc>
          <w:tcPr>
            <w:tcW w:w="1985" w:type="pct"/>
            <w:vAlign w:val="center"/>
          </w:tcPr>
          <w:p w14:paraId="5F64139B" w14:textId="77777777" w:rsidR="00F462D6" w:rsidRPr="00F462D6" w:rsidRDefault="00F462D6" w:rsidP="00394816">
            <w:pPr>
              <w:pStyle w:val="Tabletext"/>
              <w:rPr>
                <w:lang w:val="en-US"/>
              </w:rPr>
            </w:pPr>
            <w:r w:rsidRPr="00F462D6">
              <w:rPr>
                <w:lang w:val="en-US"/>
              </w:rPr>
              <w:t>Vertical resolution</w:t>
            </w:r>
          </w:p>
        </w:tc>
        <w:tc>
          <w:tcPr>
            <w:tcW w:w="1031" w:type="pct"/>
            <w:vAlign w:val="center"/>
          </w:tcPr>
          <w:p w14:paraId="1D50FD79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4718CE78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1DB59E53" w14:textId="77777777" w:rsidR="00F462D6" w:rsidRPr="00F462D6" w:rsidRDefault="00F462D6" w:rsidP="00394816">
            <w:pPr>
              <w:pStyle w:val="Tabletext"/>
              <w:jc w:val="center"/>
              <w:rPr>
                <w:lang w:val="en-US"/>
              </w:rPr>
            </w:pPr>
            <w:r w:rsidRPr="00F462D6">
              <w:rPr>
                <w:lang w:val="en-US"/>
              </w:rPr>
              <w:t>43 km</w:t>
            </w:r>
          </w:p>
        </w:tc>
      </w:tr>
    </w:tbl>
    <w:p w14:paraId="79B7B728" w14:textId="77777777" w:rsidR="00F462D6" w:rsidRPr="00F462D6" w:rsidRDefault="00F462D6" w:rsidP="00F462D6">
      <w:pPr>
        <w:keepNext/>
        <w:keepLines/>
        <w:spacing w:before="0" w:after="480"/>
        <w:jc w:val="center"/>
        <w:rPr>
          <w:rFonts w:ascii="Times New Roman Bold" w:hAnsi="Times New Roman Bold"/>
          <w:b/>
          <w:sz w:val="20"/>
          <w:lang w:val="en-US"/>
        </w:rPr>
      </w:pPr>
    </w:p>
    <w:p w14:paraId="17FA7949" w14:textId="77777777" w:rsidR="00F462D6" w:rsidRPr="00F462D6" w:rsidRDefault="00F462D6" w:rsidP="00F462D6">
      <w:pPr>
        <w:pStyle w:val="FigureNo"/>
        <w:rPr>
          <w:lang w:val="en-US"/>
        </w:rPr>
      </w:pPr>
      <w:r w:rsidRPr="00F462D6">
        <w:rPr>
          <w:lang w:val="en-US"/>
        </w:rPr>
        <w:t>FIGURE 1</w:t>
      </w:r>
    </w:p>
    <w:p w14:paraId="7F0BB3D1" w14:textId="77777777" w:rsidR="00F462D6" w:rsidRPr="00F462D6" w:rsidRDefault="00F462D6" w:rsidP="00F462D6">
      <w:pPr>
        <w:keepNext/>
        <w:keepLines/>
        <w:spacing w:before="0" w:after="480"/>
        <w:jc w:val="center"/>
        <w:rPr>
          <w:rFonts w:ascii="Times New Roman Bold" w:hAnsi="Times New Roman Bold"/>
          <w:b/>
          <w:sz w:val="20"/>
          <w:lang w:val="en-US"/>
        </w:rPr>
      </w:pPr>
      <w:r w:rsidRPr="00F462D6">
        <w:rPr>
          <w:rFonts w:ascii="Times New Roman Bold" w:hAnsi="Times New Roman Bold"/>
          <w:b/>
          <w:sz w:val="20"/>
          <w:lang w:val="en-US"/>
        </w:rPr>
        <w:t>Sensor A1 antenna pattern for the 1 400-1 427 MHz frequency band</w:t>
      </w:r>
    </w:p>
    <w:p w14:paraId="7EFE5202" w14:textId="77777777" w:rsidR="00F462D6" w:rsidRPr="00F462D6" w:rsidRDefault="00F462D6" w:rsidP="00F462D6">
      <w:pPr>
        <w:jc w:val="center"/>
        <w:rPr>
          <w:lang w:val="en-US" w:eastAsia="zh-CN"/>
        </w:rPr>
      </w:pPr>
      <w:r w:rsidRPr="00F462D6">
        <w:rPr>
          <w:noProof/>
          <w:lang w:val="en-US"/>
        </w:rPr>
        <w:drawing>
          <wp:inline distT="0" distB="0" distL="0" distR="0" wp14:anchorId="41569A8A" wp14:editId="3273655E">
            <wp:extent cx="3925374" cy="3139440"/>
            <wp:effectExtent l="0" t="0" r="0" b="381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7"/>
                    <a:stretch/>
                  </pic:blipFill>
                  <pic:spPr bwMode="auto">
                    <a:xfrm>
                      <a:off x="0" y="0"/>
                      <a:ext cx="3925832" cy="313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D04F1" w14:textId="77777777" w:rsidR="00F462D6" w:rsidRPr="00F462D6" w:rsidRDefault="00F462D6" w:rsidP="00F462D6">
      <w:pPr>
        <w:pStyle w:val="FigureNo"/>
        <w:rPr>
          <w:lang w:val="en-US"/>
        </w:rPr>
      </w:pPr>
      <w:r w:rsidRPr="00F462D6">
        <w:rPr>
          <w:lang w:val="en-US"/>
        </w:rPr>
        <w:lastRenderedPageBreak/>
        <w:t>FIGURE 2</w:t>
      </w:r>
    </w:p>
    <w:p w14:paraId="0BD39940" w14:textId="77777777" w:rsidR="00F462D6" w:rsidRPr="00F462D6" w:rsidRDefault="00F462D6" w:rsidP="00F462D6">
      <w:pPr>
        <w:keepNext/>
        <w:keepLines/>
        <w:spacing w:before="0" w:after="480"/>
        <w:jc w:val="center"/>
        <w:rPr>
          <w:rFonts w:ascii="Times New Roman Bold" w:hAnsi="Times New Roman Bold"/>
          <w:b/>
          <w:sz w:val="20"/>
          <w:lang w:val="en-US"/>
        </w:rPr>
      </w:pPr>
      <w:r w:rsidRPr="00F462D6">
        <w:rPr>
          <w:rFonts w:ascii="Times New Roman Bold" w:hAnsi="Times New Roman Bold"/>
          <w:b/>
          <w:sz w:val="20"/>
          <w:lang w:val="en-US"/>
        </w:rPr>
        <w:t>Sensor A2 antenna patterns for the 1 400-1 427 MHz frequency band</w:t>
      </w:r>
    </w:p>
    <w:p w14:paraId="4FAADDED" w14:textId="77777777" w:rsidR="00F462D6" w:rsidRPr="00F462D6" w:rsidRDefault="00F462D6" w:rsidP="00F462D6">
      <w:pPr>
        <w:keepNext/>
        <w:keepLines/>
        <w:jc w:val="center"/>
        <w:rPr>
          <w:lang w:val="en-US"/>
        </w:rPr>
      </w:pPr>
      <w:r w:rsidRPr="00F462D6">
        <w:rPr>
          <w:noProof/>
          <w:lang w:val="en-US"/>
        </w:rPr>
        <w:drawing>
          <wp:inline distT="0" distB="0" distL="0" distR="0" wp14:anchorId="10049AB2" wp14:editId="1BAF6673">
            <wp:extent cx="4245303" cy="3688080"/>
            <wp:effectExtent l="0" t="0" r="3175" b="762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2"/>
                    <a:stretch/>
                  </pic:blipFill>
                  <pic:spPr bwMode="auto">
                    <a:xfrm>
                      <a:off x="0" y="0"/>
                      <a:ext cx="4245873" cy="368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0B758" w14:textId="77777777" w:rsidR="00F462D6" w:rsidRPr="00F462D6" w:rsidRDefault="00F462D6" w:rsidP="00F462D6">
      <w:pPr>
        <w:rPr>
          <w:lang w:val="en-US"/>
        </w:rPr>
      </w:pPr>
    </w:p>
    <w:p w14:paraId="23D2EB85" w14:textId="49FF22D3" w:rsidR="00F462D6" w:rsidRPr="00F462D6" w:rsidRDefault="00F462D6" w:rsidP="00DD4BED">
      <w:pPr>
        <w:rPr>
          <w:lang w:val="en-US" w:eastAsia="zh-CN"/>
        </w:rPr>
      </w:pPr>
    </w:p>
    <w:p w14:paraId="45F3D862" w14:textId="77777777" w:rsidR="00E53EBC" w:rsidRPr="00F462D6" w:rsidRDefault="00E53EBC" w:rsidP="00DD4BED">
      <w:pPr>
        <w:rPr>
          <w:b/>
          <w:bCs/>
          <w:lang w:val="en-US" w:eastAsia="zh-CN"/>
        </w:rPr>
      </w:pPr>
    </w:p>
    <w:sectPr w:rsidR="00E53EBC" w:rsidRPr="00F462D6" w:rsidSect="00D02712">
      <w:headerReference w:type="default" r:id="rId20"/>
      <w:footerReference w:type="default" r:id="rId21"/>
      <w:head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821A" w14:textId="77777777" w:rsidR="00553175" w:rsidRDefault="00553175">
      <w:r>
        <w:separator/>
      </w:r>
    </w:p>
  </w:endnote>
  <w:endnote w:type="continuationSeparator" w:id="0">
    <w:p w14:paraId="353C1015" w14:textId="77777777" w:rsidR="00553175" w:rsidRDefault="0055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3321" w14:textId="2EEBAB32" w:rsidR="00FA124A" w:rsidRPr="002F7CB3" w:rsidRDefault="0000000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837E09">
      <w:t>07.08.24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118C" w14:textId="77777777" w:rsidR="00553175" w:rsidRDefault="00553175">
      <w:r>
        <w:t>____________________</w:t>
      </w:r>
    </w:p>
  </w:footnote>
  <w:footnote w:type="continuationSeparator" w:id="0">
    <w:p w14:paraId="72338F8D" w14:textId="77777777" w:rsidR="00553175" w:rsidRDefault="0055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5C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BFED" w14:textId="77777777" w:rsidR="00837E09" w:rsidRDefault="00837E09" w:rsidP="00837E09">
    <w:pPr>
      <w:pStyle w:val="Header"/>
    </w:pPr>
    <w:r>
      <w:t>THIS DOCUMENT HAS NOT BEEN APPROVED BY CONSENSUS IN US WORKING PARTY 7C.</w:t>
    </w:r>
  </w:p>
  <w:p w14:paraId="5C1495CC" w14:textId="77777777" w:rsidR="0088146B" w:rsidRDefault="00881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5A5"/>
    <w:multiLevelType w:val="hybridMultilevel"/>
    <w:tmpl w:val="6778E546"/>
    <w:lvl w:ilvl="0" w:tplc="957C3CB6">
      <w:start w:val="1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6D5722"/>
    <w:multiLevelType w:val="hybridMultilevel"/>
    <w:tmpl w:val="0EDEB2BE"/>
    <w:lvl w:ilvl="0" w:tplc="ED4C0A0E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20020">
    <w:abstractNumId w:val="1"/>
  </w:num>
  <w:num w:numId="2" w16cid:durableId="182131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2587E"/>
    <w:rsid w:val="00041EC7"/>
    <w:rsid w:val="00047A1D"/>
    <w:rsid w:val="000604B9"/>
    <w:rsid w:val="00082FCB"/>
    <w:rsid w:val="000911B8"/>
    <w:rsid w:val="000A7D55"/>
    <w:rsid w:val="000C12C8"/>
    <w:rsid w:val="000C2E8E"/>
    <w:rsid w:val="000D0265"/>
    <w:rsid w:val="000E0E7C"/>
    <w:rsid w:val="000F1B4B"/>
    <w:rsid w:val="000F7484"/>
    <w:rsid w:val="0011638E"/>
    <w:rsid w:val="0012744F"/>
    <w:rsid w:val="00131178"/>
    <w:rsid w:val="0015178B"/>
    <w:rsid w:val="00156F66"/>
    <w:rsid w:val="00163271"/>
    <w:rsid w:val="00172122"/>
    <w:rsid w:val="00182528"/>
    <w:rsid w:val="0018500B"/>
    <w:rsid w:val="00196A19"/>
    <w:rsid w:val="001E2740"/>
    <w:rsid w:val="00202DC1"/>
    <w:rsid w:val="002052B0"/>
    <w:rsid w:val="00206C8B"/>
    <w:rsid w:val="002116EE"/>
    <w:rsid w:val="00214CD1"/>
    <w:rsid w:val="002309D8"/>
    <w:rsid w:val="002917FC"/>
    <w:rsid w:val="002A7FE2"/>
    <w:rsid w:val="002B50B1"/>
    <w:rsid w:val="002C5E14"/>
    <w:rsid w:val="002D3F26"/>
    <w:rsid w:val="002E1B4F"/>
    <w:rsid w:val="002F2E67"/>
    <w:rsid w:val="002F79B5"/>
    <w:rsid w:val="002F7CB3"/>
    <w:rsid w:val="00315546"/>
    <w:rsid w:val="003211CB"/>
    <w:rsid w:val="00330567"/>
    <w:rsid w:val="00333EE7"/>
    <w:rsid w:val="00374E8F"/>
    <w:rsid w:val="00380CAD"/>
    <w:rsid w:val="00386A9D"/>
    <w:rsid w:val="00391081"/>
    <w:rsid w:val="003B2789"/>
    <w:rsid w:val="003C13CE"/>
    <w:rsid w:val="003C697E"/>
    <w:rsid w:val="003D222C"/>
    <w:rsid w:val="003D5982"/>
    <w:rsid w:val="003E2518"/>
    <w:rsid w:val="003E7CEF"/>
    <w:rsid w:val="004B1EF7"/>
    <w:rsid w:val="004B3FAD"/>
    <w:rsid w:val="004C5749"/>
    <w:rsid w:val="004E3288"/>
    <w:rsid w:val="00501DCA"/>
    <w:rsid w:val="00513A47"/>
    <w:rsid w:val="005235AD"/>
    <w:rsid w:val="00527BE0"/>
    <w:rsid w:val="005315C9"/>
    <w:rsid w:val="005408DF"/>
    <w:rsid w:val="00541CF3"/>
    <w:rsid w:val="00553175"/>
    <w:rsid w:val="00554B11"/>
    <w:rsid w:val="00573344"/>
    <w:rsid w:val="00583F9B"/>
    <w:rsid w:val="005B0D29"/>
    <w:rsid w:val="005E5C10"/>
    <w:rsid w:val="005F2C78"/>
    <w:rsid w:val="0060151C"/>
    <w:rsid w:val="006144E4"/>
    <w:rsid w:val="006351DF"/>
    <w:rsid w:val="006404B1"/>
    <w:rsid w:val="00650299"/>
    <w:rsid w:val="00655952"/>
    <w:rsid w:val="00655FC5"/>
    <w:rsid w:val="006855F5"/>
    <w:rsid w:val="006E2ED3"/>
    <w:rsid w:val="00770B97"/>
    <w:rsid w:val="0079142B"/>
    <w:rsid w:val="007E55AB"/>
    <w:rsid w:val="0080217F"/>
    <w:rsid w:val="0080538C"/>
    <w:rsid w:val="00814E0A"/>
    <w:rsid w:val="00822581"/>
    <w:rsid w:val="008309DD"/>
    <w:rsid w:val="0083227A"/>
    <w:rsid w:val="008330BD"/>
    <w:rsid w:val="00837E09"/>
    <w:rsid w:val="00846881"/>
    <w:rsid w:val="008614B2"/>
    <w:rsid w:val="00866900"/>
    <w:rsid w:val="00876A8A"/>
    <w:rsid w:val="0088146B"/>
    <w:rsid w:val="00881BA1"/>
    <w:rsid w:val="0088718D"/>
    <w:rsid w:val="008A5C42"/>
    <w:rsid w:val="008C2302"/>
    <w:rsid w:val="008C26B8"/>
    <w:rsid w:val="008F1A39"/>
    <w:rsid w:val="008F208F"/>
    <w:rsid w:val="009062F1"/>
    <w:rsid w:val="00923C55"/>
    <w:rsid w:val="009436DE"/>
    <w:rsid w:val="00962EAB"/>
    <w:rsid w:val="00970681"/>
    <w:rsid w:val="00982084"/>
    <w:rsid w:val="00986B25"/>
    <w:rsid w:val="00995963"/>
    <w:rsid w:val="009B61EB"/>
    <w:rsid w:val="009C2064"/>
    <w:rsid w:val="009D0047"/>
    <w:rsid w:val="009D1697"/>
    <w:rsid w:val="009D4109"/>
    <w:rsid w:val="009F2B92"/>
    <w:rsid w:val="009F2E5C"/>
    <w:rsid w:val="009F3A46"/>
    <w:rsid w:val="009F6520"/>
    <w:rsid w:val="00A014F8"/>
    <w:rsid w:val="00A01AFF"/>
    <w:rsid w:val="00A1383E"/>
    <w:rsid w:val="00A5173C"/>
    <w:rsid w:val="00A61AEF"/>
    <w:rsid w:val="00A67E6C"/>
    <w:rsid w:val="00AB5E01"/>
    <w:rsid w:val="00AD2345"/>
    <w:rsid w:val="00AF173A"/>
    <w:rsid w:val="00B066A4"/>
    <w:rsid w:val="00B07A13"/>
    <w:rsid w:val="00B27DDF"/>
    <w:rsid w:val="00B4279B"/>
    <w:rsid w:val="00B45FC9"/>
    <w:rsid w:val="00B4776E"/>
    <w:rsid w:val="00B76F35"/>
    <w:rsid w:val="00B81138"/>
    <w:rsid w:val="00BC080B"/>
    <w:rsid w:val="00BC7CCF"/>
    <w:rsid w:val="00BE470B"/>
    <w:rsid w:val="00C05150"/>
    <w:rsid w:val="00C10D6A"/>
    <w:rsid w:val="00C14DA8"/>
    <w:rsid w:val="00C24604"/>
    <w:rsid w:val="00C25604"/>
    <w:rsid w:val="00C3783F"/>
    <w:rsid w:val="00C40A1F"/>
    <w:rsid w:val="00C57A91"/>
    <w:rsid w:val="00C7207A"/>
    <w:rsid w:val="00C8115D"/>
    <w:rsid w:val="00C83E4C"/>
    <w:rsid w:val="00C972E8"/>
    <w:rsid w:val="00CA05E4"/>
    <w:rsid w:val="00CC01C2"/>
    <w:rsid w:val="00CF21F2"/>
    <w:rsid w:val="00D02712"/>
    <w:rsid w:val="00D046A7"/>
    <w:rsid w:val="00D17EE6"/>
    <w:rsid w:val="00D214D0"/>
    <w:rsid w:val="00D222C0"/>
    <w:rsid w:val="00D36436"/>
    <w:rsid w:val="00D6546B"/>
    <w:rsid w:val="00D67D97"/>
    <w:rsid w:val="00D93F74"/>
    <w:rsid w:val="00DA32AB"/>
    <w:rsid w:val="00DB178B"/>
    <w:rsid w:val="00DC17D3"/>
    <w:rsid w:val="00DC40F5"/>
    <w:rsid w:val="00DC6E91"/>
    <w:rsid w:val="00DD4BED"/>
    <w:rsid w:val="00DE39F0"/>
    <w:rsid w:val="00DE675C"/>
    <w:rsid w:val="00DF0AF3"/>
    <w:rsid w:val="00DF7E9F"/>
    <w:rsid w:val="00E25621"/>
    <w:rsid w:val="00E27D7E"/>
    <w:rsid w:val="00E42E13"/>
    <w:rsid w:val="00E53EBC"/>
    <w:rsid w:val="00E56D5C"/>
    <w:rsid w:val="00E6257C"/>
    <w:rsid w:val="00E63C59"/>
    <w:rsid w:val="00E86F8A"/>
    <w:rsid w:val="00F2077D"/>
    <w:rsid w:val="00F25662"/>
    <w:rsid w:val="00F40F63"/>
    <w:rsid w:val="00F462D6"/>
    <w:rsid w:val="00F8606C"/>
    <w:rsid w:val="00F9061D"/>
    <w:rsid w:val="00FA124A"/>
    <w:rsid w:val="00FB1864"/>
    <w:rsid w:val="00FC08DD"/>
    <w:rsid w:val="00FC2316"/>
    <w:rsid w:val="00FC2CFD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,first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uiPriority w:val="99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681"/>
    <w:pPr>
      <w:ind w:left="720"/>
      <w:contextualSpacing/>
    </w:pPr>
  </w:style>
  <w:style w:type="character" w:customStyle="1" w:styleId="TabletextChar">
    <w:name w:val="Table_text Char"/>
    <w:link w:val="Tabletext"/>
    <w:qFormat/>
    <w:locked/>
    <w:rsid w:val="00F462D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F462D6"/>
    <w:rPr>
      <w:rFonts w:ascii="Times New Roman Bold" w:hAnsi="Times New Roman Bold" w:cs="Times New Roman Bold"/>
      <w:b/>
      <w:lang w:val="en-GB" w:eastAsia="en-US"/>
    </w:rPr>
  </w:style>
  <w:style w:type="character" w:customStyle="1" w:styleId="Tabletitle0">
    <w:name w:val="Table_title Знак"/>
    <w:link w:val="Tabletitle"/>
    <w:locked/>
    <w:rsid w:val="00F462D6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qFormat/>
    <w:locked/>
    <w:rsid w:val="00F462D6"/>
    <w:rPr>
      <w:rFonts w:ascii="Times New Roman" w:hAnsi="Times New Roman"/>
      <w:caps/>
      <w:lang w:val="en-GB" w:eastAsia="en-US"/>
    </w:rPr>
  </w:style>
  <w:style w:type="paragraph" w:styleId="Revision">
    <w:name w:val="Revision"/>
    <w:hidden/>
    <w:uiPriority w:val="99"/>
    <w:semiHidden/>
    <w:rsid w:val="00C8115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93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23-WP7C-C-0050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itu.int/rec/R-REC-RS.181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RS.186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zklany@asrcfedera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rec/R-REC-RS.201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niel.W.Bishop@nasa.gov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3-WP7C-C-0050/en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46817959-9a7c-415c-8442-cc52a72a1e2c</Approved_x0020_GUID>
    <Document_x0020_Number xmlns="c132312a-5465-4f8a-b372-bfe1bb8bb61b">NON-CONSENSUS: Proposed draft reply liaison statement to Working Party 4C on WRC-27 agenda item 1.13</Document_x0020_Number>
  </documentManagement>
</p:properties>
</file>

<file path=customXml/itemProps1.xml><?xml version="1.0" encoding="utf-8"?>
<ds:datastoreItem xmlns:ds="http://schemas.openxmlformats.org/officeDocument/2006/customXml" ds:itemID="{BCACFB5E-A8D0-417F-A83B-F43EA2CCD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D5D03-7174-427A-988D-1D6BAA6D282B}"/>
</file>

<file path=customXml/itemProps3.xml><?xml version="1.0" encoding="utf-8"?>
<ds:datastoreItem xmlns:ds="http://schemas.openxmlformats.org/officeDocument/2006/customXml" ds:itemID="{EBEFADA9-EC60-45A4-9C80-432A97404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11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7C/27-010FS</vt:lpstr>
    </vt:vector>
  </TitlesOfParts>
  <Company>ITU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7C/27-010NC</dc:title>
  <dc:creator>ITU</dc:creator>
  <cp:lastModifiedBy>Franc, David N (GRC-MSC0)</cp:lastModifiedBy>
  <cp:revision>4</cp:revision>
  <cp:lastPrinted>2008-02-21T14:04:00Z</cp:lastPrinted>
  <dcterms:created xsi:type="dcterms:W3CDTF">2024-08-07T14:01:00Z</dcterms:created>
  <dcterms:modified xsi:type="dcterms:W3CDTF">2024-08-08T17:44:00Z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